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Fi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esde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ven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imen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esdeveniments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, f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, fest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religios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activi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anàlog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Llei 7/1985, de 2 d’abril, reguladora de les Bases del règim local.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articipants.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7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Identificatives, característiques personals, economicofinanceres i 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 fins a la finalització de l’esdeveniment corresponent i, 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posteriorment, fins que s’hagi compl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3D883-6303-460C-8CE8-4FB1048D0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32528-5791-488B-B5B6-3ED7132B635E}">
  <ds:schemaRefs/>
</ds:datastoreItem>
</file>

<file path=customXml/itemProps3.xml><?xml version="1.0" encoding="utf-8"?>
<ds:datastoreItem xmlns:ds="http://schemas.openxmlformats.org/officeDocument/2006/customXml" ds:itemID="{22A03FF0-FB3E-40B2-ADD5-84E0CDAAE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180</Words>
  <Characters>1152</Characters>
  <CharactersWithSpaces>1320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2023-10-23T14:12:40Z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