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Gestió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de la 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orporació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 constitució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corporació municipal, incorporació i cessament de regidors, registre d’interessos i activitats i gestió de compatibilitats de regidors.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7/1985, de 2 d’abril, reguladora de les bases del règim local; Llei orgànica 5/1985, de 19 de juny, del règim electoral general.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Quin tipus de persones físiques són els afectats per aquest tractament de dades?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Cà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rrecs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públics.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7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s, característiques personals, circumstàncies socials, acadèmi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 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professionals, detalls d’ocupació, economicofinancer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 xml:space="preserve">Junta Electoral Central, 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 xml:space="preserve">omunitat, Delegació del Govern, 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 xml:space="preserve">ntitats 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 xml:space="preserve">rivades o 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dministracions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públiques on presten serveis els càrrecs públics.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21EBE-D9C8-4F03-A3B3-EF335D59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0BF45-8BE4-4E78-ADD4-8782624E79BD}">
  <ds:schemaRefs/>
</ds:datastoreItem>
</file>

<file path=customXml/itemProps3.xml><?xml version="1.0" encoding="utf-8"?>
<ds:datastoreItem xmlns:ds="http://schemas.openxmlformats.org/officeDocument/2006/customXml" ds:itemID="{BE697AD1-564D-43A4-A88E-D286F2A06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LibreOffice/7.1.3.2$Linux_X86_64 LibreOffice_project/47f78053abe362b9384784d31a6e56f8511eb1c1</Application>
  <AppVersion>15.0000</AppVersion>
  <Pages>1</Pages>
  <Words>217</Words>
  <Characters>1386</Characters>
  <CharactersWithSpaces>1592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2023-10-25T09:41:32Z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