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Gestió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ributària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d’imp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stos municipals, ta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xe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contribucions especials, pre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públics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ingres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os de 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públic.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RGPD;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reguladora de les bases del règim local; Reial decret legislatiu 2/2004, de 5 de març, pel qual s’aprova 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ext refós de la Llei reguladora de les hisendes locals; Llei 58/ 2003, de 17 de desembre,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eneral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ributària;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ontribuents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su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obliga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propietaris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arrendataris.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característiques personals, circumstàncies socials, economicofinancer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i d’assegurances.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dministracions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úbli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anc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à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mentre perduri la condició d’obligat tributari, i, posteriorment, fins que s’hagi compl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FEF27-F30D-4EFD-A70F-88AC186B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C2B7D-4AFA-46E4-8259-523D707BBD6D}">
  <ds:schemaRefs/>
</ds:datastoreItem>
</file>

<file path=customXml/itemProps3.xml><?xml version="1.0" encoding="utf-8"?>
<ds:datastoreItem xmlns:ds="http://schemas.openxmlformats.org/officeDocument/2006/customXml" ds:itemID="{C978569D-69BA-4622-8E54-2F979450A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LibreOffice/7.1.3.2$Linux_X86_64 LibreOffice_project/47f78053abe362b9384784d31a6e56f8511eb1c1</Application>
  <AppVersion>15.0000</AppVersion>
  <Pages>1</Pages>
  <Words>234</Words>
  <Characters>1473</Characters>
  <CharactersWithSpaces>1697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2023-10-25T10:28:10Z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