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Mediació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mediació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er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resolució de conflict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Parts del procé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 xml:space="preserve">s, característiques personals, 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ircumstàncies socials, acadèmi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 i professionals, detalls d’ocupació, economicofinancer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 i d’assegurances, categories especials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dades.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AD16B-CB8C-4DB6-95B8-29C1F49B3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930CC-3F4D-4244-B31E-36946B090319}">
  <ds:schemaRefs/>
</ds:datastoreItem>
</file>

<file path=customXml/itemProps3.xml><?xml version="1.0" encoding="utf-8"?>
<ds:datastoreItem xmlns:ds="http://schemas.openxmlformats.org/officeDocument/2006/customXml" ds:itemID="{AFD07D2D-3E1E-4665-B706-50F664856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172</Words>
  <Characters>1104</Characters>
  <CharactersWithSpaces>1260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2023-10-25T12:05:04Z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