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Polic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 Local</w:t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Actuacions, intervencions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gestió integral de la Polic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 Local.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7/1985, de 2 d’abril, reguladora de les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ases del règim local; Llei orgànica 4/2015, de 30 de març, de protecció de la seguretat ciutadana.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Denunciants, denuncia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s, person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investigad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Identificatius, característiques personals, circumstàncies socials, acadèmi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s i</w:t>
            </w: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 xml:space="preserve"> professionals, informació comercial, relatives a comissió d’infraccions, categories especials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 dades.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spacing w:val="-4"/>
                <w:kern w:val="0"/>
                <w:sz w:val="22"/>
                <w:szCs w:val="22"/>
                <w:lang w:val="ca-ES" w:eastAsia="en-US" w:bidi="ar-SA"/>
              </w:rPr>
              <w:t>Altres administracions públiques, forces i cossos de seguretat, jutjats i tribunals, companyies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asseguradores, centres de salut i hospitalaris.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durant el temps necessari per fer les activitats de prevenció, investigació i, en general, actuacions policials corresponents, i es reg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eix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per la normativa aplicable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la naturalesa de la intervenció policial.</w:t>
            </w:r>
          </w:p>
        </w:tc>
      </w:tr>
    </w:tbl>
    <w:p>
      <w:pPr>
        <w:pStyle w:val="Normal"/>
        <w:tabs>
          <w:tab w:val="clear" w:pos="708"/>
          <w:tab w:val="left" w:pos="1200" w:leader="none"/>
        </w:tabs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04ED1-79FC-4E8B-82FF-7351FE615852}">
  <ds:schemaRefs/>
</ds:datastoreItem>
</file>

<file path=customXml/itemProps2.xml><?xml version="1.0" encoding="utf-8"?>
<ds:datastoreItem xmlns:ds="http://schemas.openxmlformats.org/officeDocument/2006/customXml" ds:itemID="{1FCA40B2-2A45-4B6A-BD4B-01FD227DC0A5}">
  <ds:schemaRefs/>
</ds:datastoreItem>
</file>

<file path=customXml/itemProps3.xml><?xml version="1.0" encoding="utf-8"?>
<ds:datastoreItem xmlns:ds="http://schemas.openxmlformats.org/officeDocument/2006/customXml" ds:itemID="{C0A7298E-D511-4154-8B1A-170B964D7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LibreOffice/7.1.3.2$Linux_X86_64 LibreOffice_project/47f78053abe362b9384784d31a6e56f8511eb1c1</Application>
  <AppVersion>15.0000</AppVersion>
  <Pages>1</Pages>
  <Words>230</Words>
  <Characters>1450</Characters>
  <CharactersWithSpaces>1663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2023-10-26T19:40:53Z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