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b/>
          <w:b/>
          <w:bCs/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Reca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ació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recaptació de tributs municipals, taxes, contribucions especials, preus públics i altres ingressos de dret públic.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ases del règim local; Reial decret legislatiu 2/2004, de 5 de març, pel qual s’aprova el text refós de la Llei reguladora de les hisendes locals; Llei 58/ 2003, de 17 de desembre,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eneral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ributària.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Contribuents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su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obliga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personals, circu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stànci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socials, informació comercial, econ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Comunitat, Agència Estatal d’Administració Tributària, Tresoreria General de la Seguretat Social, Institut Nacional de la Seguretat Social,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ntitats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ancàries.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B3054-D40F-4D1C-A6F6-01A885E0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EC6B5-0BBB-4C63-824E-C5BE39E4170A}">
  <ds:schemaRefs/>
</ds:datastoreItem>
</file>

<file path=customXml/itemProps3.xml><?xml version="1.0" encoding="utf-8"?>
<ds:datastoreItem xmlns:ds="http://schemas.openxmlformats.org/officeDocument/2006/customXml" ds:itemID="{1701F2BE-4104-4B4E-921D-161478A2D2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LibreOffice/7.1.3.2$Linux_X86_64 LibreOffice_project/47f78053abe362b9384784d31a6e56f8511eb1c1</Application>
  <AppVersion>15.0000</AppVersion>
  <Pages>1</Pages>
  <Words>230</Words>
  <Characters>1439</Characters>
  <CharactersWithSpaces>1653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2023-10-27T11:34:52Z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