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6E" w:rsidRPr="00A66379" w:rsidRDefault="005C446E" w:rsidP="00310934">
      <w:pPr>
        <w:spacing w:line="324" w:lineRule="atLeast"/>
        <w:jc w:val="both"/>
        <w:outlineLvl w:val="0"/>
        <w:rPr>
          <w:rFonts w:ascii="Arial" w:eastAsia="Times New Roman" w:hAnsi="Arial" w:cs="Arial"/>
          <w:b/>
          <w:color w:val="000000" w:themeColor="text1"/>
          <w:sz w:val="22"/>
          <w:szCs w:val="22"/>
          <w:u w:val="single"/>
          <w:lang w:val="es-ES" w:eastAsia="es-ES"/>
        </w:rPr>
      </w:pPr>
      <w:r w:rsidRPr="00A66379">
        <w:rPr>
          <w:rFonts w:ascii="Arial" w:eastAsia="Times New Roman" w:hAnsi="Arial" w:cs="Arial"/>
          <w:b/>
          <w:color w:val="000000" w:themeColor="text1"/>
          <w:sz w:val="22"/>
          <w:szCs w:val="22"/>
          <w:u w:val="single"/>
          <w:lang w:val="es-ES" w:eastAsia="es-ES"/>
        </w:rPr>
        <w:t>CONSULTA Nº</w:t>
      </w:r>
      <w:r w:rsidR="00310934" w:rsidRPr="00A66379">
        <w:rPr>
          <w:rFonts w:ascii="Arial" w:eastAsia="Times New Roman" w:hAnsi="Arial" w:cs="Arial"/>
          <w:b/>
          <w:color w:val="000000" w:themeColor="text1"/>
          <w:sz w:val="22"/>
          <w:szCs w:val="22"/>
          <w:u w:val="single"/>
          <w:lang w:val="es-ES" w:eastAsia="es-ES"/>
        </w:rPr>
        <w:t>1</w:t>
      </w:r>
      <w:r w:rsidR="00852C9E" w:rsidRPr="00A66379">
        <w:rPr>
          <w:rFonts w:ascii="Arial" w:eastAsia="Times New Roman" w:hAnsi="Arial" w:cs="Arial"/>
          <w:b/>
          <w:color w:val="000000" w:themeColor="text1"/>
          <w:sz w:val="22"/>
          <w:szCs w:val="22"/>
          <w:u w:val="single"/>
          <w:lang w:val="es-ES" w:eastAsia="es-ES"/>
        </w:rPr>
        <w:t>5</w:t>
      </w:r>
      <w:r w:rsidRPr="00A66379">
        <w:rPr>
          <w:rFonts w:ascii="Arial" w:eastAsia="Times New Roman" w:hAnsi="Arial" w:cs="Arial"/>
          <w:b/>
          <w:color w:val="000000" w:themeColor="text1"/>
          <w:sz w:val="22"/>
          <w:szCs w:val="22"/>
          <w:u w:val="single"/>
          <w:lang w:val="es-ES" w:eastAsia="es-ES"/>
        </w:rPr>
        <w:t>: </w:t>
      </w:r>
    </w:p>
    <w:p w:rsidR="00852C9E" w:rsidRPr="00A66379" w:rsidRDefault="00852C9E" w:rsidP="00310934">
      <w:pPr>
        <w:jc w:val="both"/>
        <w:outlineLvl w:val="0"/>
        <w:rPr>
          <w:rFonts w:ascii="Arial" w:eastAsia="Times New Roman" w:hAnsi="Arial" w:cs="Arial"/>
          <w:b/>
          <w:color w:val="000000" w:themeColor="text1"/>
          <w:sz w:val="22"/>
          <w:szCs w:val="22"/>
          <w:u w:val="single"/>
          <w:lang w:val="es-ES" w:eastAsia="es-ES"/>
        </w:rPr>
      </w:pPr>
    </w:p>
    <w:p w:rsidR="00852C9E" w:rsidRPr="00A66379" w:rsidRDefault="00852C9E" w:rsidP="00852C9E">
      <w:pPr>
        <w:jc w:val="both"/>
        <w:outlineLvl w:val="0"/>
        <w:rPr>
          <w:rFonts w:ascii="Arial" w:eastAsia="Times New Roman" w:hAnsi="Arial" w:cs="Arial"/>
          <w:color w:val="000000" w:themeColor="text1"/>
          <w:sz w:val="22"/>
          <w:szCs w:val="22"/>
          <w:lang w:val="es-ES" w:eastAsia="es-ES"/>
        </w:rPr>
      </w:pPr>
      <w:r w:rsidRPr="00A66379">
        <w:rPr>
          <w:rFonts w:ascii="Arial" w:eastAsia="Times New Roman" w:hAnsi="Arial" w:cs="Arial"/>
          <w:color w:val="000000" w:themeColor="text1"/>
          <w:sz w:val="22"/>
          <w:szCs w:val="22"/>
          <w:lang w:val="es-ES" w:eastAsia="es-ES"/>
        </w:rPr>
        <w:t>En relación con el Pliego de Clausulas económico administrativas particulares de las autorizaciones de explotación de instalaciones de temporada de playas del término municipal de Sant Josep de Sa Talaia 2018-2021, vengo a realizar las siguientes consultas:</w:t>
      </w:r>
    </w:p>
    <w:p w:rsidR="00852C9E" w:rsidRPr="00A66379" w:rsidRDefault="00852C9E" w:rsidP="00852C9E">
      <w:pPr>
        <w:jc w:val="both"/>
        <w:outlineLvl w:val="0"/>
        <w:rPr>
          <w:rFonts w:ascii="Arial" w:eastAsia="Times New Roman" w:hAnsi="Arial" w:cs="Arial"/>
          <w:color w:val="000000" w:themeColor="text1"/>
          <w:sz w:val="22"/>
          <w:szCs w:val="22"/>
          <w:lang w:val="es-ES" w:eastAsia="es-ES"/>
        </w:rPr>
      </w:pPr>
      <w:r w:rsidRPr="00A66379">
        <w:rPr>
          <w:rFonts w:ascii="Arial" w:eastAsia="Times New Roman" w:hAnsi="Arial" w:cs="Arial"/>
          <w:color w:val="000000" w:themeColor="text1"/>
          <w:sz w:val="22"/>
          <w:szCs w:val="22"/>
          <w:lang w:val="es-ES" w:eastAsia="es-ES"/>
        </w:rPr>
        <w:t xml:space="preserve"> </w:t>
      </w:r>
    </w:p>
    <w:p w:rsidR="00852C9E" w:rsidRPr="00A66379" w:rsidRDefault="005271C1" w:rsidP="005271C1">
      <w:pPr>
        <w:pStyle w:val="Prrafodelista"/>
        <w:numPr>
          <w:ilvl w:val="0"/>
          <w:numId w:val="19"/>
        </w:numPr>
        <w:jc w:val="both"/>
        <w:outlineLvl w:val="0"/>
        <w:rPr>
          <w:rFonts w:ascii="Arial" w:eastAsia="Times New Roman" w:hAnsi="Arial" w:cs="Arial"/>
          <w:color w:val="000000" w:themeColor="text1"/>
          <w:sz w:val="22"/>
          <w:szCs w:val="22"/>
          <w:lang w:val="es-ES" w:eastAsia="es-ES"/>
        </w:rPr>
      </w:pPr>
      <w:r w:rsidRPr="00A66379">
        <w:rPr>
          <w:rFonts w:ascii="Arial" w:eastAsia="Times New Roman" w:hAnsi="Arial" w:cs="Arial"/>
          <w:color w:val="000000" w:themeColor="text1"/>
          <w:sz w:val="22"/>
          <w:szCs w:val="22"/>
          <w:lang w:val="es-ES" w:eastAsia="es-ES"/>
        </w:rPr>
        <w:t>¿Respecto a la acreditación de la solvencia técnica comprendida en la Cláusula 5, solo pueden acreditar la experiencia personas jurídicas y autónomos, o es también factible que se acredite por un trabajado por cuenta ajena?</w:t>
      </w:r>
    </w:p>
    <w:p w:rsidR="002B5934" w:rsidRPr="00A66379" w:rsidRDefault="002B5934" w:rsidP="00852C9E">
      <w:pPr>
        <w:jc w:val="both"/>
        <w:outlineLvl w:val="0"/>
        <w:rPr>
          <w:rFonts w:ascii="Arial" w:eastAsia="Times New Roman" w:hAnsi="Arial" w:cs="Arial"/>
          <w:color w:val="000000" w:themeColor="text1"/>
          <w:sz w:val="22"/>
          <w:szCs w:val="22"/>
          <w:lang w:val="es-ES" w:eastAsia="es-ES"/>
        </w:rPr>
      </w:pPr>
    </w:p>
    <w:p w:rsidR="00852C9E" w:rsidRPr="00A66379" w:rsidRDefault="00B02C7F" w:rsidP="005271C1">
      <w:pPr>
        <w:pStyle w:val="Prrafodelista"/>
        <w:numPr>
          <w:ilvl w:val="0"/>
          <w:numId w:val="19"/>
        </w:numPr>
        <w:jc w:val="both"/>
        <w:outlineLvl w:val="0"/>
        <w:rPr>
          <w:rFonts w:ascii="Arial" w:eastAsia="Times New Roman" w:hAnsi="Arial" w:cs="Arial"/>
          <w:color w:val="000000" w:themeColor="text1"/>
          <w:sz w:val="22"/>
          <w:szCs w:val="22"/>
          <w:lang w:val="es-ES" w:eastAsia="es-ES"/>
        </w:rPr>
      </w:pPr>
      <w:r w:rsidRPr="00A66379">
        <w:rPr>
          <w:rFonts w:ascii="Arial" w:eastAsia="Times New Roman" w:hAnsi="Arial" w:cs="Arial"/>
          <w:color w:val="000000" w:themeColor="text1"/>
          <w:sz w:val="22"/>
          <w:szCs w:val="22"/>
          <w:lang w:val="es-ES" w:eastAsia="es-ES"/>
        </w:rPr>
        <w:t>¿En relación con lo anterior, ese trabajador por cuenta ajena podría formar parte de la Unión Temporal de Empresas como autónomo?</w:t>
      </w:r>
    </w:p>
    <w:p w:rsidR="002B5934" w:rsidRPr="00A66379" w:rsidRDefault="002B5934" w:rsidP="00852C9E">
      <w:pPr>
        <w:jc w:val="both"/>
        <w:outlineLvl w:val="0"/>
        <w:rPr>
          <w:rFonts w:ascii="Arial" w:eastAsia="Times New Roman" w:hAnsi="Arial" w:cs="Arial"/>
          <w:color w:val="000000" w:themeColor="text1"/>
          <w:sz w:val="22"/>
          <w:szCs w:val="22"/>
          <w:lang w:val="es-ES" w:eastAsia="es-ES"/>
        </w:rPr>
      </w:pPr>
    </w:p>
    <w:p w:rsidR="00852C9E" w:rsidRPr="00A66379" w:rsidRDefault="00852C9E" w:rsidP="005271C1">
      <w:pPr>
        <w:pStyle w:val="Prrafodelista"/>
        <w:numPr>
          <w:ilvl w:val="0"/>
          <w:numId w:val="19"/>
        </w:numPr>
        <w:jc w:val="both"/>
        <w:outlineLvl w:val="0"/>
        <w:rPr>
          <w:rFonts w:ascii="Arial" w:eastAsia="Times New Roman" w:hAnsi="Arial" w:cs="Arial"/>
          <w:color w:val="000000" w:themeColor="text1"/>
          <w:sz w:val="22"/>
          <w:szCs w:val="22"/>
          <w:lang w:val="es-ES" w:eastAsia="es-ES"/>
        </w:rPr>
      </w:pPr>
      <w:r w:rsidRPr="00A66379">
        <w:rPr>
          <w:rFonts w:ascii="Arial" w:eastAsia="Times New Roman" w:hAnsi="Arial" w:cs="Arial"/>
          <w:color w:val="000000" w:themeColor="text1"/>
          <w:sz w:val="22"/>
          <w:szCs w:val="22"/>
          <w:lang w:val="es-ES" w:eastAsia="es-ES"/>
        </w:rPr>
        <w:t>En cuanto a la solvencia técnica, y según lo esti</w:t>
      </w:r>
      <w:r w:rsidR="005271C1" w:rsidRPr="00A66379">
        <w:rPr>
          <w:rFonts w:ascii="Arial" w:eastAsia="Times New Roman" w:hAnsi="Arial" w:cs="Arial"/>
          <w:color w:val="000000" w:themeColor="text1"/>
          <w:sz w:val="22"/>
          <w:szCs w:val="22"/>
          <w:lang w:val="es-ES" w:eastAsia="es-ES"/>
        </w:rPr>
        <w:t xml:space="preserve">pulado en la cláusula 20.2.c) </w:t>
      </w:r>
      <w:r w:rsidRPr="00A66379">
        <w:rPr>
          <w:rFonts w:ascii="Arial" w:eastAsia="Times New Roman" w:hAnsi="Arial" w:cs="Arial"/>
          <w:color w:val="000000" w:themeColor="text1"/>
          <w:sz w:val="22"/>
          <w:szCs w:val="22"/>
          <w:lang w:val="es-ES" w:eastAsia="es-ES"/>
        </w:rPr>
        <w:t xml:space="preserve">¿que requisitos deben cumplir los certificados emitidos por las entidades </w:t>
      </w:r>
      <w:r w:rsidR="005271C1" w:rsidRPr="00A66379">
        <w:rPr>
          <w:rFonts w:ascii="Arial" w:eastAsia="Times New Roman" w:hAnsi="Arial" w:cs="Arial"/>
          <w:color w:val="000000" w:themeColor="text1"/>
          <w:sz w:val="22"/>
          <w:szCs w:val="22"/>
          <w:lang w:val="es-ES" w:eastAsia="es-ES"/>
        </w:rPr>
        <w:t>financieras?</w:t>
      </w:r>
    </w:p>
    <w:p w:rsidR="00852C9E" w:rsidRPr="00A66379" w:rsidRDefault="00852C9E" w:rsidP="00310934">
      <w:pPr>
        <w:jc w:val="both"/>
        <w:outlineLvl w:val="0"/>
        <w:rPr>
          <w:rFonts w:ascii="Arial" w:eastAsia="Times New Roman" w:hAnsi="Arial" w:cs="Arial"/>
          <w:b/>
          <w:color w:val="000000" w:themeColor="text1"/>
          <w:sz w:val="22"/>
          <w:szCs w:val="22"/>
          <w:u w:val="single"/>
          <w:lang w:val="es-ES" w:eastAsia="es-ES"/>
        </w:rPr>
      </w:pPr>
    </w:p>
    <w:p w:rsidR="005C446E" w:rsidRPr="00A66379" w:rsidRDefault="005C446E" w:rsidP="00310934">
      <w:pPr>
        <w:jc w:val="both"/>
        <w:outlineLvl w:val="0"/>
        <w:rPr>
          <w:rFonts w:ascii="Arial" w:eastAsia="Times New Roman" w:hAnsi="Arial" w:cs="Arial"/>
          <w:b/>
          <w:color w:val="000000" w:themeColor="text1"/>
          <w:sz w:val="22"/>
          <w:szCs w:val="22"/>
          <w:u w:val="single"/>
          <w:lang w:val="es-ES" w:eastAsia="es-ES"/>
        </w:rPr>
      </w:pPr>
      <w:r w:rsidRPr="00A66379">
        <w:rPr>
          <w:rFonts w:ascii="Arial" w:eastAsia="Times New Roman" w:hAnsi="Arial" w:cs="Arial"/>
          <w:b/>
          <w:color w:val="000000" w:themeColor="text1"/>
          <w:sz w:val="22"/>
          <w:szCs w:val="22"/>
          <w:u w:val="single"/>
          <w:lang w:val="es-ES" w:eastAsia="es-ES"/>
        </w:rPr>
        <w:t>RESP</w:t>
      </w:r>
      <w:r w:rsidR="00750491" w:rsidRPr="00A66379">
        <w:rPr>
          <w:rFonts w:ascii="Arial" w:eastAsia="Times New Roman" w:hAnsi="Arial" w:cs="Arial"/>
          <w:b/>
          <w:color w:val="000000" w:themeColor="text1"/>
          <w:sz w:val="22"/>
          <w:szCs w:val="22"/>
          <w:u w:val="single"/>
          <w:lang w:val="es-ES" w:eastAsia="es-ES"/>
        </w:rPr>
        <w:t>UE</w:t>
      </w:r>
      <w:r w:rsidRPr="00A66379">
        <w:rPr>
          <w:rFonts w:ascii="Arial" w:eastAsia="Times New Roman" w:hAnsi="Arial" w:cs="Arial"/>
          <w:b/>
          <w:color w:val="000000" w:themeColor="text1"/>
          <w:sz w:val="22"/>
          <w:szCs w:val="22"/>
          <w:u w:val="single"/>
          <w:lang w:val="es-ES" w:eastAsia="es-ES"/>
        </w:rPr>
        <w:t>STA:</w:t>
      </w:r>
    </w:p>
    <w:p w:rsidR="00661AF7" w:rsidRPr="00A66379" w:rsidRDefault="00661AF7" w:rsidP="00C5394E">
      <w:pPr>
        <w:jc w:val="both"/>
        <w:rPr>
          <w:rFonts w:ascii="Arial" w:eastAsia="Times New Roman" w:hAnsi="Arial" w:cs="Arial"/>
          <w:b/>
          <w:color w:val="000000" w:themeColor="text1"/>
          <w:sz w:val="22"/>
          <w:szCs w:val="22"/>
          <w:u w:val="single"/>
          <w:lang w:val="es-ES" w:eastAsia="es-ES"/>
        </w:rPr>
      </w:pPr>
    </w:p>
    <w:p w:rsidR="002B5934" w:rsidRPr="00A66379" w:rsidRDefault="002B5934" w:rsidP="002B5934">
      <w:pPr>
        <w:pStyle w:val="Prrafodelista"/>
        <w:numPr>
          <w:ilvl w:val="0"/>
          <w:numId w:val="16"/>
        </w:numPr>
        <w:jc w:val="both"/>
        <w:outlineLvl w:val="0"/>
        <w:rPr>
          <w:rFonts w:ascii="Arial" w:eastAsia="Times New Roman" w:hAnsi="Arial" w:cs="Arial"/>
          <w:color w:val="000000" w:themeColor="text1"/>
          <w:sz w:val="22"/>
          <w:szCs w:val="22"/>
          <w:lang w:val="es-ES" w:eastAsia="es-ES"/>
        </w:rPr>
      </w:pPr>
      <w:r w:rsidRPr="00A66379">
        <w:rPr>
          <w:rFonts w:ascii="Arial" w:eastAsia="Times New Roman" w:hAnsi="Arial" w:cs="Arial"/>
          <w:color w:val="000000" w:themeColor="text1"/>
          <w:sz w:val="22"/>
          <w:szCs w:val="22"/>
          <w:lang w:val="es-ES" w:eastAsia="es-ES"/>
        </w:rPr>
        <w:t>Es también factible que se acredite experiencia por un trabajado</w:t>
      </w:r>
      <w:r w:rsidR="00A66379" w:rsidRPr="00A66379">
        <w:rPr>
          <w:rFonts w:ascii="Arial" w:eastAsia="Times New Roman" w:hAnsi="Arial" w:cs="Arial"/>
          <w:color w:val="000000" w:themeColor="text1"/>
          <w:sz w:val="22"/>
          <w:szCs w:val="22"/>
          <w:lang w:val="es-ES" w:eastAsia="es-ES"/>
        </w:rPr>
        <w:t>r</w:t>
      </w:r>
      <w:r w:rsidRPr="00A66379">
        <w:rPr>
          <w:rFonts w:ascii="Arial" w:eastAsia="Times New Roman" w:hAnsi="Arial" w:cs="Arial"/>
          <w:color w:val="000000" w:themeColor="text1"/>
          <w:sz w:val="22"/>
          <w:szCs w:val="22"/>
          <w:lang w:val="es-ES" w:eastAsia="es-ES"/>
        </w:rPr>
        <w:t xml:space="preserve"> por cuenta ajena que se presente a una licitación, debe aportar la fe de vida laboral y cumplir con el requisito mínimo de </w:t>
      </w:r>
      <w:r w:rsidR="005271C1" w:rsidRPr="00A66379">
        <w:rPr>
          <w:rFonts w:ascii="Arial" w:eastAsia="Times New Roman" w:hAnsi="Arial" w:cs="Arial"/>
          <w:color w:val="000000" w:themeColor="text1"/>
          <w:sz w:val="22"/>
          <w:szCs w:val="22"/>
          <w:lang w:val="es-ES" w:eastAsia="es-ES"/>
        </w:rPr>
        <w:t xml:space="preserve">experiencia en la </w:t>
      </w:r>
      <w:r w:rsidRPr="00A66379">
        <w:rPr>
          <w:rFonts w:ascii="Arial" w:eastAsia="Times New Roman" w:hAnsi="Arial" w:cs="Arial"/>
          <w:color w:val="000000" w:themeColor="text1"/>
          <w:sz w:val="22"/>
          <w:szCs w:val="22"/>
          <w:lang w:val="es-ES" w:eastAsia="es-ES"/>
        </w:rPr>
        <w:t>prestación de servicios</w:t>
      </w:r>
      <w:r w:rsidR="005271C1" w:rsidRPr="00A66379">
        <w:rPr>
          <w:rFonts w:ascii="Arial" w:eastAsia="Times New Roman" w:hAnsi="Arial" w:cs="Arial"/>
          <w:color w:val="000000" w:themeColor="text1"/>
          <w:sz w:val="22"/>
          <w:szCs w:val="22"/>
          <w:lang w:val="es-ES" w:eastAsia="es-ES"/>
        </w:rPr>
        <w:t xml:space="preserve"> que señala el pliego</w:t>
      </w:r>
      <w:r w:rsidRPr="00A66379">
        <w:rPr>
          <w:rFonts w:ascii="Arial" w:eastAsia="Times New Roman" w:hAnsi="Arial" w:cs="Arial"/>
          <w:color w:val="000000" w:themeColor="text1"/>
          <w:sz w:val="22"/>
          <w:szCs w:val="22"/>
          <w:lang w:val="es-ES" w:eastAsia="es-ES"/>
        </w:rPr>
        <w:t>.</w:t>
      </w:r>
    </w:p>
    <w:p w:rsidR="002B5934" w:rsidRPr="00A66379" w:rsidRDefault="002B5934" w:rsidP="002B5934">
      <w:pPr>
        <w:pStyle w:val="Prrafodelista"/>
        <w:jc w:val="both"/>
        <w:outlineLvl w:val="0"/>
        <w:rPr>
          <w:rFonts w:ascii="Arial" w:eastAsia="Times New Roman" w:hAnsi="Arial" w:cs="Arial"/>
          <w:color w:val="000000" w:themeColor="text1"/>
          <w:sz w:val="22"/>
          <w:szCs w:val="22"/>
          <w:lang w:val="es-ES" w:eastAsia="es-ES"/>
        </w:rPr>
      </w:pPr>
    </w:p>
    <w:p w:rsidR="00B02C7F" w:rsidRPr="00A66379" w:rsidRDefault="002B5934" w:rsidP="00B02C7F">
      <w:pPr>
        <w:pStyle w:val="Prrafodelista"/>
        <w:numPr>
          <w:ilvl w:val="0"/>
          <w:numId w:val="16"/>
        </w:numPr>
        <w:jc w:val="both"/>
        <w:outlineLvl w:val="0"/>
        <w:rPr>
          <w:rFonts w:ascii="Arial" w:eastAsia="Times New Roman" w:hAnsi="Arial" w:cs="Arial"/>
          <w:color w:val="000000" w:themeColor="text1"/>
          <w:sz w:val="22"/>
          <w:szCs w:val="22"/>
          <w:lang w:val="es-ES" w:eastAsia="es-ES"/>
        </w:rPr>
      </w:pPr>
      <w:r w:rsidRPr="00A66379">
        <w:rPr>
          <w:rFonts w:ascii="Arial" w:eastAsia="Times New Roman" w:hAnsi="Arial" w:cs="Arial"/>
          <w:color w:val="000000" w:themeColor="text1"/>
          <w:sz w:val="22"/>
          <w:szCs w:val="22"/>
          <w:lang w:val="es-ES" w:eastAsia="es-ES"/>
        </w:rPr>
        <w:t xml:space="preserve">En caso de concurrir en forma de UTE, el resto de miembros de la misma, deben cumplir también </w:t>
      </w:r>
      <w:r w:rsidR="00B02C7F" w:rsidRPr="00A66379">
        <w:rPr>
          <w:rFonts w:ascii="Arial" w:eastAsia="Times New Roman" w:hAnsi="Arial" w:cs="Arial"/>
          <w:color w:val="000000" w:themeColor="text1"/>
          <w:sz w:val="22"/>
          <w:szCs w:val="22"/>
          <w:lang w:val="es-ES" w:eastAsia="es-ES"/>
        </w:rPr>
        <w:t>un mínimo de la experiencia solicitada</w:t>
      </w:r>
      <w:r w:rsidRPr="00A66379">
        <w:rPr>
          <w:rFonts w:ascii="Arial" w:eastAsia="Times New Roman" w:hAnsi="Arial" w:cs="Arial"/>
          <w:color w:val="000000" w:themeColor="text1"/>
          <w:sz w:val="22"/>
          <w:szCs w:val="22"/>
          <w:lang w:val="es-ES" w:eastAsia="es-ES"/>
        </w:rPr>
        <w:t>.</w:t>
      </w:r>
      <w:r w:rsidR="00B02C7F" w:rsidRPr="00A66379">
        <w:rPr>
          <w:rFonts w:ascii="Arial" w:eastAsia="Times New Roman" w:hAnsi="Arial" w:cs="Arial"/>
          <w:color w:val="000000" w:themeColor="text1"/>
          <w:sz w:val="22"/>
          <w:szCs w:val="22"/>
          <w:lang w:val="es-ES" w:eastAsia="es-ES"/>
        </w:rPr>
        <w:t xml:space="preserve"> </w:t>
      </w:r>
      <w:r w:rsidR="00B02C7F" w:rsidRPr="00A66379">
        <w:rPr>
          <w:rFonts w:ascii="Arial" w:hAnsi="Arial" w:cs="Arial"/>
          <w:w w:val="105"/>
          <w:sz w:val="22"/>
          <w:szCs w:val="22"/>
          <w:lang w:val="es-ES"/>
        </w:rPr>
        <w:t xml:space="preserve">El criterio general es el de la acumulación. Así lo establece el artículo 24 del RGLCAP relativo a las uniones temporales de empresarios, en cuyo apartado 1, señala: </w:t>
      </w:r>
    </w:p>
    <w:p w:rsidR="00B02C7F" w:rsidRPr="00A66379" w:rsidRDefault="00B02C7F" w:rsidP="00B02C7F">
      <w:pPr>
        <w:pStyle w:val="Prrafodelista"/>
        <w:jc w:val="both"/>
        <w:outlineLvl w:val="0"/>
        <w:rPr>
          <w:rFonts w:ascii="Arial" w:hAnsi="Arial" w:cs="Arial"/>
          <w:w w:val="105"/>
          <w:sz w:val="22"/>
          <w:szCs w:val="22"/>
          <w:lang w:val="es-ES"/>
        </w:rPr>
      </w:pPr>
      <w:bookmarkStart w:id="0" w:name="_GoBack"/>
      <w:bookmarkEnd w:id="0"/>
    </w:p>
    <w:p w:rsidR="00B02C7F" w:rsidRPr="00A66379" w:rsidRDefault="00B02C7F" w:rsidP="00B02C7F">
      <w:pPr>
        <w:pStyle w:val="Prrafodelista"/>
        <w:ind w:left="1206"/>
        <w:jc w:val="both"/>
        <w:outlineLvl w:val="0"/>
        <w:rPr>
          <w:rFonts w:ascii="Arial" w:eastAsia="Times New Roman" w:hAnsi="Arial" w:cs="Arial"/>
          <w:i/>
          <w:color w:val="000000" w:themeColor="text1"/>
          <w:sz w:val="22"/>
          <w:szCs w:val="22"/>
          <w:lang w:val="es-ES" w:eastAsia="es-ES"/>
        </w:rPr>
      </w:pPr>
      <w:r w:rsidRPr="00A66379">
        <w:rPr>
          <w:rFonts w:ascii="Arial" w:hAnsi="Arial" w:cs="Arial"/>
          <w:i/>
          <w:w w:val="105"/>
          <w:sz w:val="22"/>
          <w:szCs w:val="22"/>
          <w:lang w:val="es-ES"/>
        </w:rPr>
        <w:t>“1. En las uniones temporales de empresarios cada uno de los que la componen deberá acreditar su capacidad y solvencia conforme a los artículos 15 a 19 de la Ley y 9 a 16 de este Reglamento, acumulándose a efectos de la determinación de la solvencia de la unión temporal las características acreditadas para cada uno de los integrantes de la misma, sin perjuicio de lo que para la clasificación se establece en el</w:t>
      </w:r>
      <w:r w:rsidRPr="00A66379">
        <w:rPr>
          <w:rFonts w:ascii="Arial" w:hAnsi="Arial" w:cs="Arial"/>
          <w:i/>
          <w:spacing w:val="-45"/>
          <w:w w:val="105"/>
          <w:sz w:val="22"/>
          <w:szCs w:val="22"/>
          <w:lang w:val="es-ES"/>
        </w:rPr>
        <w:t xml:space="preserve"> </w:t>
      </w:r>
      <w:r w:rsidRPr="00A66379">
        <w:rPr>
          <w:rFonts w:ascii="Arial" w:hAnsi="Arial" w:cs="Arial"/>
          <w:i/>
          <w:w w:val="105"/>
          <w:sz w:val="22"/>
          <w:szCs w:val="22"/>
          <w:lang w:val="es-ES"/>
        </w:rPr>
        <w:t>artículo 52 de este Reglamento”.</w:t>
      </w:r>
    </w:p>
    <w:p w:rsidR="00B02C7F" w:rsidRPr="00A66379" w:rsidRDefault="00B02C7F" w:rsidP="00B02C7F">
      <w:pPr>
        <w:pStyle w:val="Textoindependiente"/>
        <w:spacing w:before="8"/>
        <w:rPr>
          <w:i w:val="0"/>
          <w:sz w:val="22"/>
          <w:szCs w:val="22"/>
          <w:lang w:val="es-ES"/>
        </w:rPr>
      </w:pPr>
    </w:p>
    <w:p w:rsidR="005271C1" w:rsidRPr="00A66379" w:rsidRDefault="00B02C7F" w:rsidP="005271C1">
      <w:pPr>
        <w:pStyle w:val="Ttulo21"/>
        <w:spacing w:line="252" w:lineRule="auto"/>
        <w:ind w:right="149"/>
        <w:rPr>
          <w:rFonts w:ascii="Arial" w:hAnsi="Arial" w:cs="Arial"/>
          <w:i w:val="0"/>
          <w:w w:val="105"/>
          <w:sz w:val="22"/>
          <w:szCs w:val="22"/>
          <w:u w:val="single"/>
          <w:lang w:val="es-ES"/>
        </w:rPr>
      </w:pPr>
      <w:r w:rsidRPr="00A66379">
        <w:rPr>
          <w:rFonts w:ascii="Arial" w:hAnsi="Arial" w:cs="Arial"/>
          <w:i w:val="0"/>
          <w:w w:val="105"/>
          <w:sz w:val="22"/>
          <w:szCs w:val="22"/>
          <w:u w:val="single"/>
          <w:lang w:val="es-ES"/>
        </w:rPr>
        <w:t>Es decir, la norma general es la de la acumulación, que, en todo caso, exige la acreditación por todos y cada uno de los integrantes de la UTE de algún tipo de solvencia para que pueda acumularse la misma.</w:t>
      </w:r>
    </w:p>
    <w:p w:rsidR="005271C1" w:rsidRPr="00A66379" w:rsidRDefault="005271C1" w:rsidP="005271C1">
      <w:pPr>
        <w:pStyle w:val="Ttulo21"/>
        <w:spacing w:line="252" w:lineRule="auto"/>
        <w:ind w:right="149"/>
        <w:rPr>
          <w:rFonts w:ascii="Arial" w:hAnsi="Arial" w:cs="Arial"/>
          <w:i w:val="0"/>
          <w:w w:val="105"/>
          <w:sz w:val="22"/>
          <w:szCs w:val="22"/>
          <w:u w:val="single"/>
          <w:lang w:val="es-ES"/>
        </w:rPr>
      </w:pPr>
    </w:p>
    <w:p w:rsidR="00B02C7F" w:rsidRPr="00A66379" w:rsidRDefault="00B02C7F" w:rsidP="005271C1">
      <w:pPr>
        <w:pStyle w:val="Ttulo21"/>
        <w:spacing w:line="252" w:lineRule="auto"/>
        <w:ind w:right="149"/>
        <w:rPr>
          <w:rFonts w:ascii="Arial" w:hAnsi="Arial" w:cs="Arial"/>
          <w:i w:val="0"/>
          <w:sz w:val="22"/>
          <w:szCs w:val="22"/>
          <w:lang w:val="es-ES"/>
        </w:rPr>
      </w:pPr>
      <w:r w:rsidRPr="00A66379">
        <w:rPr>
          <w:rFonts w:ascii="Arial" w:hAnsi="Arial" w:cs="Arial"/>
          <w:i w:val="0"/>
          <w:w w:val="105"/>
          <w:sz w:val="22"/>
          <w:szCs w:val="22"/>
          <w:lang w:val="es-ES"/>
        </w:rPr>
        <w:t>En consecuencia, de acuerdo con el criterio expuesto, aunque alguna de las empresas que integran la UTE no alcance las condiciones mínimas de solvencia técnica, económica y financiera exigidas en el pliego, deberá procederse a la acumulación de la solvencia de las empresas que forman la UTE, de forma que si su sumatorio o acumulación alcanza los niveles requeridos deberá entenderse que la UTE alcanza la solvencia exigida en el pliego.</w:t>
      </w:r>
    </w:p>
    <w:p w:rsidR="00B02C7F" w:rsidRPr="00A66379" w:rsidRDefault="00B02C7F" w:rsidP="00B02C7F">
      <w:pPr>
        <w:pStyle w:val="Textoindependiente"/>
        <w:spacing w:before="2"/>
        <w:rPr>
          <w:i w:val="0"/>
          <w:sz w:val="22"/>
          <w:szCs w:val="22"/>
          <w:lang w:val="es-ES"/>
        </w:rPr>
      </w:pPr>
    </w:p>
    <w:p w:rsidR="003C3248" w:rsidRPr="00A66379" w:rsidRDefault="005271C1" w:rsidP="003C3248">
      <w:pPr>
        <w:pStyle w:val="Prrafodelista"/>
        <w:widowControl w:val="0"/>
        <w:numPr>
          <w:ilvl w:val="0"/>
          <w:numId w:val="16"/>
        </w:numPr>
        <w:tabs>
          <w:tab w:val="left" w:pos="1567"/>
        </w:tabs>
        <w:autoSpaceDE w:val="0"/>
        <w:autoSpaceDN w:val="0"/>
        <w:spacing w:line="252" w:lineRule="auto"/>
        <w:ind w:right="148"/>
        <w:jc w:val="both"/>
        <w:rPr>
          <w:rFonts w:ascii="Arial" w:eastAsia="Times New Roman" w:hAnsi="Arial" w:cs="Arial"/>
          <w:b/>
          <w:color w:val="000000" w:themeColor="text1"/>
          <w:sz w:val="22"/>
          <w:szCs w:val="22"/>
          <w:lang w:val="es-ES" w:eastAsia="es-ES"/>
        </w:rPr>
      </w:pPr>
      <w:r w:rsidRPr="00A66379">
        <w:rPr>
          <w:rFonts w:ascii="Arial" w:hAnsi="Arial" w:cs="Arial"/>
          <w:w w:val="105"/>
          <w:sz w:val="22"/>
          <w:szCs w:val="22"/>
          <w:lang w:val="es-ES"/>
        </w:rPr>
        <w:t>L</w:t>
      </w:r>
      <w:r w:rsidR="002B5934" w:rsidRPr="00A66379">
        <w:rPr>
          <w:rFonts w:ascii="Arial" w:eastAsia="Times New Roman" w:hAnsi="Arial" w:cs="Arial"/>
          <w:color w:val="000000" w:themeColor="text1"/>
          <w:sz w:val="22"/>
          <w:szCs w:val="22"/>
          <w:lang w:val="es-ES" w:eastAsia="es-ES"/>
        </w:rPr>
        <w:t xml:space="preserve">os certificados emitidos deben </w:t>
      </w:r>
      <w:r w:rsidR="003C3248" w:rsidRPr="00A66379">
        <w:rPr>
          <w:rFonts w:ascii="Arial" w:eastAsia="Times New Roman" w:hAnsi="Arial" w:cs="Arial"/>
          <w:color w:val="000000" w:themeColor="text1"/>
          <w:sz w:val="22"/>
          <w:szCs w:val="22"/>
          <w:lang w:val="es-ES" w:eastAsia="es-ES"/>
        </w:rPr>
        <w:t xml:space="preserve">acreditar la disponibilidad de recursos financieros suficientes para desarrollar todas las operaciones productivas que demanda la ejecución del contrato, contando como mínimo con el importe del canon anual mínimo de licitación del lote para el que se licita, lo que acreditará </w:t>
      </w:r>
      <w:r w:rsidR="003C3248" w:rsidRPr="00A66379">
        <w:rPr>
          <w:rFonts w:ascii="Arial" w:eastAsia="Times New Roman" w:hAnsi="Arial" w:cs="Arial"/>
          <w:color w:val="000000" w:themeColor="text1"/>
          <w:sz w:val="22"/>
          <w:szCs w:val="22"/>
          <w:lang w:val="es-ES" w:eastAsia="es-ES"/>
        </w:rPr>
        <w:lastRenderedPageBreak/>
        <w:t xml:space="preserve">mediante la aportación de la documentación prevista en la cláusula 5.1. a), entre la que se encuentran las declaraciones de Entidades financieras </w:t>
      </w:r>
      <w:r w:rsidR="003C3248" w:rsidRPr="00A66379">
        <w:rPr>
          <w:rFonts w:ascii="Arial" w:eastAsia="Times New Roman" w:hAnsi="Arial" w:cs="Arial"/>
          <w:b/>
          <w:color w:val="000000" w:themeColor="text1"/>
          <w:sz w:val="22"/>
          <w:szCs w:val="22"/>
          <w:lang w:val="es-ES" w:eastAsia="es-ES"/>
        </w:rPr>
        <w:t>que especifiquen expresamente que el licitador posee solvencia económica y financiera propia o crediticia</w:t>
      </w:r>
      <w:r w:rsidR="003C3248" w:rsidRPr="00A66379">
        <w:rPr>
          <w:rFonts w:ascii="Arial" w:eastAsia="Times New Roman" w:hAnsi="Arial" w:cs="Arial"/>
          <w:color w:val="000000" w:themeColor="text1"/>
          <w:sz w:val="22"/>
          <w:szCs w:val="22"/>
          <w:lang w:val="es-ES" w:eastAsia="es-ES"/>
        </w:rPr>
        <w:t xml:space="preserve"> para cumplir con las obligaciones derivadas del lote o lotes a los que licita, en el que conste </w:t>
      </w:r>
      <w:r w:rsidR="003C3248" w:rsidRPr="00A66379">
        <w:rPr>
          <w:rFonts w:ascii="Arial" w:eastAsia="Times New Roman" w:hAnsi="Arial" w:cs="Arial"/>
          <w:b/>
          <w:color w:val="000000" w:themeColor="text1"/>
          <w:sz w:val="22"/>
          <w:szCs w:val="22"/>
          <w:lang w:val="es-ES" w:eastAsia="es-ES"/>
        </w:rPr>
        <w:t>que dispone de un saldo igual o superior al canon anual mínimo de licitación correspondiente al lote o lotes a los que licita.</w:t>
      </w:r>
    </w:p>
    <w:p w:rsidR="00590E27" w:rsidRPr="00A66379" w:rsidRDefault="00590E27" w:rsidP="00C5394E">
      <w:pPr>
        <w:jc w:val="both"/>
        <w:rPr>
          <w:rFonts w:ascii="Arial" w:eastAsia="Times New Roman" w:hAnsi="Arial" w:cs="Arial"/>
          <w:b/>
          <w:color w:val="000000" w:themeColor="text1"/>
          <w:sz w:val="22"/>
          <w:szCs w:val="22"/>
          <w:u w:val="single"/>
          <w:lang w:val="es-ES" w:eastAsia="es-ES"/>
        </w:rPr>
      </w:pPr>
    </w:p>
    <w:sectPr w:rsidR="00590E27" w:rsidRPr="00A66379" w:rsidSect="009D0D2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BoldItalicMT">
    <w:altName w:val="Arial"/>
    <w:panose1 w:val="020B0604020202020204"/>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A36CB"/>
    <w:multiLevelType w:val="multilevel"/>
    <w:tmpl w:val="9E24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37970"/>
    <w:multiLevelType w:val="hybridMultilevel"/>
    <w:tmpl w:val="121C1B6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45C10F9"/>
    <w:multiLevelType w:val="multilevel"/>
    <w:tmpl w:val="B2D66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902DF1"/>
    <w:multiLevelType w:val="hybridMultilevel"/>
    <w:tmpl w:val="401E2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897034"/>
    <w:multiLevelType w:val="multilevel"/>
    <w:tmpl w:val="50D6A0B2"/>
    <w:lvl w:ilvl="0">
      <w:start w:val="5"/>
      <w:numFmt w:val="decimal"/>
      <w:lvlText w:val="%1"/>
      <w:lvlJc w:val="left"/>
      <w:pPr>
        <w:ind w:left="1274" w:hanging="428"/>
      </w:pPr>
      <w:rPr>
        <w:rFonts w:hint="default"/>
      </w:rPr>
    </w:lvl>
    <w:lvl w:ilvl="1">
      <w:start w:val="1"/>
      <w:numFmt w:val="decimal"/>
      <w:lvlText w:val="%1.%2."/>
      <w:lvlJc w:val="left"/>
      <w:pPr>
        <w:ind w:left="1274" w:hanging="428"/>
      </w:pPr>
      <w:rPr>
        <w:rFonts w:ascii="Arial" w:eastAsia="Arial" w:hAnsi="Arial" w:cs="Arial" w:hint="default"/>
        <w:i/>
        <w:spacing w:val="0"/>
        <w:w w:val="102"/>
        <w:sz w:val="21"/>
        <w:szCs w:val="21"/>
      </w:rPr>
    </w:lvl>
    <w:lvl w:ilvl="2">
      <w:start w:val="1"/>
      <w:numFmt w:val="decimal"/>
      <w:lvlText w:val="%3."/>
      <w:lvlJc w:val="left"/>
      <w:pPr>
        <w:ind w:left="1566" w:hanging="360"/>
      </w:pPr>
      <w:rPr>
        <w:rFonts w:ascii="Arial" w:eastAsia="Arial" w:hAnsi="Arial" w:cs="Arial" w:hint="default"/>
        <w:i/>
        <w:spacing w:val="0"/>
        <w:w w:val="102"/>
        <w:sz w:val="21"/>
        <w:szCs w:val="21"/>
      </w:rPr>
    </w:lvl>
    <w:lvl w:ilvl="3">
      <w:numFmt w:val="bullet"/>
      <w:lvlText w:val="•"/>
      <w:lvlJc w:val="left"/>
      <w:pPr>
        <w:ind w:left="3419" w:hanging="360"/>
      </w:pPr>
      <w:rPr>
        <w:rFonts w:hint="default"/>
      </w:rPr>
    </w:lvl>
    <w:lvl w:ilvl="4">
      <w:numFmt w:val="bullet"/>
      <w:lvlText w:val="•"/>
      <w:lvlJc w:val="left"/>
      <w:pPr>
        <w:ind w:left="4348" w:hanging="360"/>
      </w:pPr>
      <w:rPr>
        <w:rFonts w:hint="default"/>
      </w:rPr>
    </w:lvl>
    <w:lvl w:ilvl="5">
      <w:numFmt w:val="bullet"/>
      <w:lvlText w:val="•"/>
      <w:lvlJc w:val="left"/>
      <w:pPr>
        <w:ind w:left="5278" w:hanging="360"/>
      </w:pPr>
      <w:rPr>
        <w:rFonts w:hint="default"/>
      </w:rPr>
    </w:lvl>
    <w:lvl w:ilvl="6">
      <w:numFmt w:val="bullet"/>
      <w:lvlText w:val="•"/>
      <w:lvlJc w:val="left"/>
      <w:pPr>
        <w:ind w:left="6207" w:hanging="360"/>
      </w:pPr>
      <w:rPr>
        <w:rFonts w:hint="default"/>
      </w:rPr>
    </w:lvl>
    <w:lvl w:ilvl="7">
      <w:numFmt w:val="bullet"/>
      <w:lvlText w:val="•"/>
      <w:lvlJc w:val="left"/>
      <w:pPr>
        <w:ind w:left="7137" w:hanging="360"/>
      </w:pPr>
      <w:rPr>
        <w:rFonts w:hint="default"/>
      </w:rPr>
    </w:lvl>
    <w:lvl w:ilvl="8">
      <w:numFmt w:val="bullet"/>
      <w:lvlText w:val="•"/>
      <w:lvlJc w:val="left"/>
      <w:pPr>
        <w:ind w:left="8066" w:hanging="360"/>
      </w:pPr>
      <w:rPr>
        <w:rFonts w:hint="default"/>
      </w:rPr>
    </w:lvl>
  </w:abstractNum>
  <w:abstractNum w:abstractNumId="5" w15:restartNumberingAfterBreak="0">
    <w:nsid w:val="2B4C2D77"/>
    <w:multiLevelType w:val="multilevel"/>
    <w:tmpl w:val="9E24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991A3B"/>
    <w:multiLevelType w:val="singleLevel"/>
    <w:tmpl w:val="15108668"/>
    <w:lvl w:ilvl="0">
      <w:start w:val="1"/>
      <w:numFmt w:val="lowerLetter"/>
      <w:lvlText w:val="%1)"/>
      <w:lvlJc w:val="left"/>
      <w:pPr>
        <w:tabs>
          <w:tab w:val="num" w:pos="360"/>
        </w:tabs>
        <w:ind w:left="360" w:hanging="360"/>
      </w:pPr>
      <w:rPr>
        <w:b w:val="0"/>
        <w:i w:val="0"/>
      </w:rPr>
    </w:lvl>
  </w:abstractNum>
  <w:abstractNum w:abstractNumId="7" w15:restartNumberingAfterBreak="0">
    <w:nsid w:val="35D43F2E"/>
    <w:multiLevelType w:val="multilevel"/>
    <w:tmpl w:val="B2D66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D2118F"/>
    <w:multiLevelType w:val="hybridMultilevel"/>
    <w:tmpl w:val="17FA3C70"/>
    <w:lvl w:ilvl="0" w:tplc="E4345478">
      <w:start w:val="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6D739A"/>
    <w:multiLevelType w:val="hybridMultilevel"/>
    <w:tmpl w:val="0F5A43CE"/>
    <w:lvl w:ilvl="0" w:tplc="67686672">
      <w:start w:val="1"/>
      <w:numFmt w:val="upperRoman"/>
      <w:lvlText w:val="%1."/>
      <w:lvlJc w:val="right"/>
      <w:pPr>
        <w:ind w:left="720" w:hanging="360"/>
      </w:pPr>
      <w:rPr>
        <w:b/>
      </w:rPr>
    </w:lvl>
    <w:lvl w:ilvl="1" w:tplc="0C50B096">
      <w:start w:val="1"/>
      <w:numFmt w:val="upperRoman"/>
      <w:lvlText w:val="%2."/>
      <w:lvlJc w:val="left"/>
      <w:pPr>
        <w:ind w:left="1800" w:hanging="720"/>
      </w:pPr>
      <w:rPr>
        <w:rFonts w:hint="default"/>
      </w:rPr>
    </w:lvl>
    <w:lvl w:ilvl="2" w:tplc="6136D62E">
      <w:start w:val="1"/>
      <w:numFmt w:val="lowerLetter"/>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BF66917"/>
    <w:multiLevelType w:val="hybridMultilevel"/>
    <w:tmpl w:val="C4AA3FE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F7C01AB"/>
    <w:multiLevelType w:val="hybridMultilevel"/>
    <w:tmpl w:val="6204D1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C056D4C"/>
    <w:multiLevelType w:val="multilevel"/>
    <w:tmpl w:val="B7469EBA"/>
    <w:lvl w:ilvl="0">
      <w:start w:val="1"/>
      <w:numFmt w:val="decimal"/>
      <w:pStyle w:val="Ttulo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10C6192"/>
    <w:multiLevelType w:val="hybridMultilevel"/>
    <w:tmpl w:val="D9F2A4EC"/>
    <w:lvl w:ilvl="0" w:tplc="0C0A000F">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2B762D9"/>
    <w:multiLevelType w:val="hybridMultilevel"/>
    <w:tmpl w:val="9DCC1516"/>
    <w:lvl w:ilvl="0" w:tplc="FFF402D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43A4205"/>
    <w:multiLevelType w:val="multilevel"/>
    <w:tmpl w:val="F1447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E06D21"/>
    <w:multiLevelType w:val="hybridMultilevel"/>
    <w:tmpl w:val="9EE2E27A"/>
    <w:lvl w:ilvl="0" w:tplc="607E343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06225D7"/>
    <w:multiLevelType w:val="hybridMultilevel"/>
    <w:tmpl w:val="F88CD250"/>
    <w:lvl w:ilvl="0" w:tplc="82EC27C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2475965"/>
    <w:multiLevelType w:val="hybridMultilevel"/>
    <w:tmpl w:val="A470EB56"/>
    <w:lvl w:ilvl="0" w:tplc="D42A0AF2">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6364DFE"/>
    <w:multiLevelType w:val="hybridMultilevel"/>
    <w:tmpl w:val="A8763478"/>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7CED5A7C"/>
    <w:multiLevelType w:val="hybridMultilevel"/>
    <w:tmpl w:val="449CA9C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2"/>
  </w:num>
  <w:num w:numId="3">
    <w:abstractNumId w:val="16"/>
  </w:num>
  <w:num w:numId="4">
    <w:abstractNumId w:val="17"/>
  </w:num>
  <w:num w:numId="5">
    <w:abstractNumId w:val="15"/>
  </w:num>
  <w:num w:numId="6">
    <w:abstractNumId w:val="0"/>
  </w:num>
  <w:num w:numId="7">
    <w:abstractNumId w:val="2"/>
  </w:num>
  <w:num w:numId="8">
    <w:abstractNumId w:val="3"/>
  </w:num>
  <w:num w:numId="9">
    <w:abstractNumId w:val="13"/>
  </w:num>
  <w:num w:numId="10">
    <w:abstractNumId w:val="20"/>
  </w:num>
  <w:num w:numId="11">
    <w:abstractNumId w:val="5"/>
  </w:num>
  <w:num w:numId="12">
    <w:abstractNumId w:val="7"/>
  </w:num>
  <w:num w:numId="13">
    <w:abstractNumId w:val="6"/>
  </w:num>
  <w:num w:numId="14">
    <w:abstractNumId w:val="8"/>
  </w:num>
  <w:num w:numId="15">
    <w:abstractNumId w:val="10"/>
  </w:num>
  <w:num w:numId="16">
    <w:abstractNumId w:val="18"/>
  </w:num>
  <w:num w:numId="17">
    <w:abstractNumId w:val="4"/>
  </w:num>
  <w:num w:numId="18">
    <w:abstractNumId w:val="11"/>
  </w:num>
  <w:num w:numId="19">
    <w:abstractNumId w:val="14"/>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6E"/>
    <w:rsid w:val="00012F54"/>
    <w:rsid w:val="000879B5"/>
    <w:rsid w:val="00147BE2"/>
    <w:rsid w:val="001B429A"/>
    <w:rsid w:val="002705E7"/>
    <w:rsid w:val="00291455"/>
    <w:rsid w:val="002A3701"/>
    <w:rsid w:val="002B5934"/>
    <w:rsid w:val="002C411D"/>
    <w:rsid w:val="00310934"/>
    <w:rsid w:val="003C3248"/>
    <w:rsid w:val="005271C1"/>
    <w:rsid w:val="00562581"/>
    <w:rsid w:val="00590E27"/>
    <w:rsid w:val="005C4202"/>
    <w:rsid w:val="005C446E"/>
    <w:rsid w:val="00610398"/>
    <w:rsid w:val="006277FA"/>
    <w:rsid w:val="00661AF7"/>
    <w:rsid w:val="00667C6A"/>
    <w:rsid w:val="006D41C5"/>
    <w:rsid w:val="006F71B4"/>
    <w:rsid w:val="00750491"/>
    <w:rsid w:val="00760184"/>
    <w:rsid w:val="007B5251"/>
    <w:rsid w:val="007D1929"/>
    <w:rsid w:val="00825968"/>
    <w:rsid w:val="00842BE6"/>
    <w:rsid w:val="00843408"/>
    <w:rsid w:val="00852C9E"/>
    <w:rsid w:val="009C6F54"/>
    <w:rsid w:val="009D0D20"/>
    <w:rsid w:val="00A66379"/>
    <w:rsid w:val="00B02C7F"/>
    <w:rsid w:val="00B3649C"/>
    <w:rsid w:val="00C5394E"/>
    <w:rsid w:val="00CD51A5"/>
    <w:rsid w:val="00CE65D2"/>
    <w:rsid w:val="00D634BE"/>
    <w:rsid w:val="00D86106"/>
    <w:rsid w:val="00DF4D35"/>
    <w:rsid w:val="00E174D2"/>
    <w:rsid w:val="00E61B4C"/>
    <w:rsid w:val="00E816A5"/>
    <w:rsid w:val="00EB2768"/>
    <w:rsid w:val="00FA4EB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2F84"/>
  <w14:defaultImageDpi w14:val="32767"/>
  <w15:chartTrackingRefBased/>
  <w15:docId w15:val="{C97E6C0E-4975-374B-911E-32C5B026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ca-ES"/>
    </w:rPr>
  </w:style>
  <w:style w:type="paragraph" w:styleId="Ttulo3">
    <w:name w:val="heading 3"/>
    <w:basedOn w:val="Normal"/>
    <w:next w:val="Normal"/>
    <w:link w:val="Ttulo3Car"/>
    <w:uiPriority w:val="9"/>
    <w:unhideWhenUsed/>
    <w:qFormat/>
    <w:rsid w:val="00CD51A5"/>
    <w:pPr>
      <w:keepNext/>
      <w:keepLines/>
      <w:spacing w:before="40"/>
      <w:outlineLvl w:val="2"/>
    </w:pPr>
    <w:rPr>
      <w:rFonts w:asciiTheme="majorHAnsi" w:eastAsiaTheme="majorEastAsia" w:hAnsiTheme="majorHAnsi" w:cstheme="majorBidi"/>
      <w:color w:val="1F3763" w:themeColor="accent1" w:themeShade="7F"/>
      <w:lang w:val="es-ES_tradnl" w:eastAsia="es-ES_tradnl"/>
    </w:rPr>
  </w:style>
  <w:style w:type="paragraph" w:styleId="Ttulo9">
    <w:name w:val="heading 9"/>
    <w:aliases w:val="I. Título 9"/>
    <w:basedOn w:val="Normal"/>
    <w:link w:val="Ttulo9Car"/>
    <w:autoRedefine/>
    <w:uiPriority w:val="1"/>
    <w:qFormat/>
    <w:rsid w:val="00610398"/>
    <w:pPr>
      <w:widowControl w:val="0"/>
      <w:numPr>
        <w:numId w:val="2"/>
      </w:numPr>
      <w:autoSpaceDE w:val="0"/>
      <w:autoSpaceDN w:val="0"/>
      <w:ind w:hanging="360"/>
      <w:jc w:val="center"/>
      <w:outlineLvl w:val="8"/>
    </w:pPr>
    <w:rPr>
      <w:rFonts w:ascii="Helvetica" w:eastAsia="Times New Roman" w:hAnsi="Helvetica"/>
      <w:b/>
      <w:bCs/>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aliases w:val="I. Título 9 Car"/>
    <w:link w:val="Ttulo9"/>
    <w:uiPriority w:val="1"/>
    <w:rsid w:val="00610398"/>
    <w:rPr>
      <w:rFonts w:ascii="Helvetica" w:eastAsia="Times New Roman" w:hAnsi="Helvetica"/>
      <w:b/>
      <w:bCs/>
      <w:sz w:val="21"/>
      <w:szCs w:val="21"/>
      <w:lang w:val="en-US"/>
    </w:rPr>
  </w:style>
  <w:style w:type="paragraph" w:styleId="NormalWeb">
    <w:name w:val="Normal (Web)"/>
    <w:basedOn w:val="Normal"/>
    <w:uiPriority w:val="99"/>
    <w:unhideWhenUsed/>
    <w:rsid w:val="005C446E"/>
    <w:pPr>
      <w:spacing w:before="100" w:beforeAutospacing="1" w:after="100" w:afterAutospacing="1"/>
    </w:pPr>
    <w:rPr>
      <w:rFonts w:ascii="Times New Roman" w:eastAsia="Times New Roman" w:hAnsi="Times New Roman" w:cs="Times New Roman"/>
      <w:lang w:val="es-ES" w:eastAsia="es-ES"/>
    </w:rPr>
  </w:style>
  <w:style w:type="character" w:customStyle="1" w:styleId="il">
    <w:name w:val="il"/>
    <w:basedOn w:val="Fuentedeprrafopredeter"/>
    <w:rsid w:val="005C446E"/>
  </w:style>
  <w:style w:type="character" w:customStyle="1" w:styleId="apple-converted-space">
    <w:name w:val="apple-converted-space"/>
    <w:basedOn w:val="Fuentedeprrafopredeter"/>
    <w:rsid w:val="005C446E"/>
  </w:style>
  <w:style w:type="paragraph" w:styleId="Prrafodelista">
    <w:name w:val="List Paragraph"/>
    <w:basedOn w:val="Normal"/>
    <w:uiPriority w:val="1"/>
    <w:qFormat/>
    <w:rsid w:val="005C446E"/>
    <w:pPr>
      <w:ind w:left="720"/>
      <w:contextualSpacing/>
    </w:pPr>
  </w:style>
  <w:style w:type="paragraph" w:customStyle="1" w:styleId="m-2795987348309740775msolistparagraph">
    <w:name w:val="m_-2795987348309740775msolistparagraph"/>
    <w:basedOn w:val="Normal"/>
    <w:rsid w:val="00750491"/>
    <w:pPr>
      <w:spacing w:before="100" w:beforeAutospacing="1" w:after="100" w:afterAutospacing="1"/>
    </w:pPr>
    <w:rPr>
      <w:rFonts w:ascii="Times New Roman" w:eastAsia="Times New Roman" w:hAnsi="Times New Roman" w:cs="Times New Roman"/>
      <w:lang w:val="es-ES" w:eastAsia="es-ES"/>
    </w:rPr>
  </w:style>
  <w:style w:type="character" w:customStyle="1" w:styleId="Ttulo3Car">
    <w:name w:val="Título 3 Car"/>
    <w:basedOn w:val="Fuentedeprrafopredeter"/>
    <w:link w:val="Ttulo3"/>
    <w:uiPriority w:val="9"/>
    <w:rsid w:val="00CD51A5"/>
    <w:rPr>
      <w:rFonts w:asciiTheme="majorHAnsi" w:eastAsiaTheme="majorEastAsia" w:hAnsiTheme="majorHAnsi" w:cstheme="majorBidi"/>
      <w:color w:val="1F3763" w:themeColor="accent1" w:themeShade="7F"/>
      <w:lang w:eastAsia="es-ES_tradnl"/>
    </w:rPr>
  </w:style>
  <w:style w:type="paragraph" w:customStyle="1" w:styleId="m-8084799951309294995msolistparagraph">
    <w:name w:val="m_-8084799951309294995msolistparagraph"/>
    <w:basedOn w:val="Normal"/>
    <w:rsid w:val="005C4202"/>
    <w:pPr>
      <w:spacing w:before="100" w:beforeAutospacing="1" w:after="100" w:afterAutospacing="1"/>
    </w:pPr>
    <w:rPr>
      <w:rFonts w:ascii="Times New Roman" w:eastAsia="Times New Roman" w:hAnsi="Times New Roman" w:cs="Times New Roman"/>
      <w:lang w:val="es-ES" w:eastAsia="es-ES"/>
    </w:rPr>
  </w:style>
  <w:style w:type="paragraph" w:styleId="Textoindependiente">
    <w:name w:val="Body Text"/>
    <w:basedOn w:val="Normal"/>
    <w:link w:val="TextoindependienteCar"/>
    <w:uiPriority w:val="1"/>
    <w:qFormat/>
    <w:rsid w:val="00B02C7F"/>
    <w:pPr>
      <w:widowControl w:val="0"/>
      <w:autoSpaceDE w:val="0"/>
      <w:autoSpaceDN w:val="0"/>
    </w:pPr>
    <w:rPr>
      <w:rFonts w:ascii="Arial" w:eastAsia="Arial" w:hAnsi="Arial" w:cs="Arial"/>
      <w:i/>
      <w:sz w:val="21"/>
      <w:szCs w:val="21"/>
      <w:lang w:val="en-US"/>
    </w:rPr>
  </w:style>
  <w:style w:type="character" w:customStyle="1" w:styleId="TextoindependienteCar">
    <w:name w:val="Texto independiente Car"/>
    <w:basedOn w:val="Fuentedeprrafopredeter"/>
    <w:link w:val="Textoindependiente"/>
    <w:uiPriority w:val="1"/>
    <w:rsid w:val="00B02C7F"/>
    <w:rPr>
      <w:rFonts w:ascii="Arial" w:eastAsia="Arial" w:hAnsi="Arial" w:cs="Arial"/>
      <w:i/>
      <w:sz w:val="21"/>
      <w:szCs w:val="21"/>
      <w:lang w:val="en-US"/>
    </w:rPr>
  </w:style>
  <w:style w:type="paragraph" w:customStyle="1" w:styleId="Ttulo21">
    <w:name w:val="Título 21"/>
    <w:basedOn w:val="Normal"/>
    <w:uiPriority w:val="1"/>
    <w:qFormat/>
    <w:rsid w:val="00B02C7F"/>
    <w:pPr>
      <w:widowControl w:val="0"/>
      <w:autoSpaceDE w:val="0"/>
      <w:autoSpaceDN w:val="0"/>
      <w:ind w:left="846" w:right="148"/>
      <w:jc w:val="both"/>
      <w:outlineLvl w:val="2"/>
    </w:pPr>
    <w:rPr>
      <w:rFonts w:ascii="Arial-BoldItalicMT" w:eastAsia="Arial-BoldItalicMT" w:hAnsi="Arial-BoldItalicMT" w:cs="Arial-BoldItalicMT"/>
      <w:b/>
      <w:bCs/>
      <w:i/>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6005">
      <w:bodyDiv w:val="1"/>
      <w:marLeft w:val="0"/>
      <w:marRight w:val="0"/>
      <w:marTop w:val="0"/>
      <w:marBottom w:val="0"/>
      <w:divBdr>
        <w:top w:val="none" w:sz="0" w:space="0" w:color="auto"/>
        <w:left w:val="none" w:sz="0" w:space="0" w:color="auto"/>
        <w:bottom w:val="none" w:sz="0" w:space="0" w:color="auto"/>
        <w:right w:val="none" w:sz="0" w:space="0" w:color="auto"/>
      </w:divBdr>
    </w:div>
    <w:div w:id="98840866">
      <w:bodyDiv w:val="1"/>
      <w:marLeft w:val="0"/>
      <w:marRight w:val="0"/>
      <w:marTop w:val="0"/>
      <w:marBottom w:val="0"/>
      <w:divBdr>
        <w:top w:val="none" w:sz="0" w:space="0" w:color="auto"/>
        <w:left w:val="none" w:sz="0" w:space="0" w:color="auto"/>
        <w:bottom w:val="none" w:sz="0" w:space="0" w:color="auto"/>
        <w:right w:val="none" w:sz="0" w:space="0" w:color="auto"/>
      </w:divBdr>
    </w:div>
    <w:div w:id="369692618">
      <w:bodyDiv w:val="1"/>
      <w:marLeft w:val="0"/>
      <w:marRight w:val="0"/>
      <w:marTop w:val="0"/>
      <w:marBottom w:val="0"/>
      <w:divBdr>
        <w:top w:val="none" w:sz="0" w:space="0" w:color="auto"/>
        <w:left w:val="none" w:sz="0" w:space="0" w:color="auto"/>
        <w:bottom w:val="none" w:sz="0" w:space="0" w:color="auto"/>
        <w:right w:val="none" w:sz="0" w:space="0" w:color="auto"/>
      </w:divBdr>
    </w:div>
    <w:div w:id="422648249">
      <w:bodyDiv w:val="1"/>
      <w:marLeft w:val="0"/>
      <w:marRight w:val="0"/>
      <w:marTop w:val="0"/>
      <w:marBottom w:val="0"/>
      <w:divBdr>
        <w:top w:val="none" w:sz="0" w:space="0" w:color="auto"/>
        <w:left w:val="none" w:sz="0" w:space="0" w:color="auto"/>
        <w:bottom w:val="none" w:sz="0" w:space="0" w:color="auto"/>
        <w:right w:val="none" w:sz="0" w:space="0" w:color="auto"/>
      </w:divBdr>
    </w:div>
    <w:div w:id="477764488">
      <w:bodyDiv w:val="1"/>
      <w:marLeft w:val="0"/>
      <w:marRight w:val="0"/>
      <w:marTop w:val="0"/>
      <w:marBottom w:val="0"/>
      <w:divBdr>
        <w:top w:val="none" w:sz="0" w:space="0" w:color="auto"/>
        <w:left w:val="none" w:sz="0" w:space="0" w:color="auto"/>
        <w:bottom w:val="none" w:sz="0" w:space="0" w:color="auto"/>
        <w:right w:val="none" w:sz="0" w:space="0" w:color="auto"/>
      </w:divBdr>
    </w:div>
    <w:div w:id="562954480">
      <w:bodyDiv w:val="1"/>
      <w:marLeft w:val="0"/>
      <w:marRight w:val="0"/>
      <w:marTop w:val="0"/>
      <w:marBottom w:val="0"/>
      <w:divBdr>
        <w:top w:val="none" w:sz="0" w:space="0" w:color="auto"/>
        <w:left w:val="none" w:sz="0" w:space="0" w:color="auto"/>
        <w:bottom w:val="none" w:sz="0" w:space="0" w:color="auto"/>
        <w:right w:val="none" w:sz="0" w:space="0" w:color="auto"/>
      </w:divBdr>
    </w:div>
    <w:div w:id="576480619">
      <w:bodyDiv w:val="1"/>
      <w:marLeft w:val="0"/>
      <w:marRight w:val="0"/>
      <w:marTop w:val="0"/>
      <w:marBottom w:val="0"/>
      <w:divBdr>
        <w:top w:val="none" w:sz="0" w:space="0" w:color="auto"/>
        <w:left w:val="none" w:sz="0" w:space="0" w:color="auto"/>
        <w:bottom w:val="none" w:sz="0" w:space="0" w:color="auto"/>
        <w:right w:val="none" w:sz="0" w:space="0" w:color="auto"/>
      </w:divBdr>
    </w:div>
    <w:div w:id="601375002">
      <w:bodyDiv w:val="1"/>
      <w:marLeft w:val="0"/>
      <w:marRight w:val="0"/>
      <w:marTop w:val="0"/>
      <w:marBottom w:val="0"/>
      <w:divBdr>
        <w:top w:val="none" w:sz="0" w:space="0" w:color="auto"/>
        <w:left w:val="none" w:sz="0" w:space="0" w:color="auto"/>
        <w:bottom w:val="none" w:sz="0" w:space="0" w:color="auto"/>
        <w:right w:val="none" w:sz="0" w:space="0" w:color="auto"/>
      </w:divBdr>
    </w:div>
    <w:div w:id="622885476">
      <w:bodyDiv w:val="1"/>
      <w:marLeft w:val="0"/>
      <w:marRight w:val="0"/>
      <w:marTop w:val="0"/>
      <w:marBottom w:val="0"/>
      <w:divBdr>
        <w:top w:val="none" w:sz="0" w:space="0" w:color="auto"/>
        <w:left w:val="none" w:sz="0" w:space="0" w:color="auto"/>
        <w:bottom w:val="none" w:sz="0" w:space="0" w:color="auto"/>
        <w:right w:val="none" w:sz="0" w:space="0" w:color="auto"/>
      </w:divBdr>
    </w:div>
    <w:div w:id="790246764">
      <w:bodyDiv w:val="1"/>
      <w:marLeft w:val="0"/>
      <w:marRight w:val="0"/>
      <w:marTop w:val="0"/>
      <w:marBottom w:val="0"/>
      <w:divBdr>
        <w:top w:val="none" w:sz="0" w:space="0" w:color="auto"/>
        <w:left w:val="none" w:sz="0" w:space="0" w:color="auto"/>
        <w:bottom w:val="none" w:sz="0" w:space="0" w:color="auto"/>
        <w:right w:val="none" w:sz="0" w:space="0" w:color="auto"/>
      </w:divBdr>
      <w:divsChild>
        <w:div w:id="656961802">
          <w:marLeft w:val="0"/>
          <w:marRight w:val="0"/>
          <w:marTop w:val="0"/>
          <w:marBottom w:val="0"/>
          <w:divBdr>
            <w:top w:val="none" w:sz="0" w:space="0" w:color="auto"/>
            <w:left w:val="none" w:sz="0" w:space="0" w:color="auto"/>
            <w:bottom w:val="none" w:sz="0" w:space="0" w:color="auto"/>
            <w:right w:val="none" w:sz="0" w:space="0" w:color="auto"/>
          </w:divBdr>
        </w:div>
        <w:div w:id="1146701756">
          <w:marLeft w:val="0"/>
          <w:marRight w:val="0"/>
          <w:marTop w:val="0"/>
          <w:marBottom w:val="0"/>
          <w:divBdr>
            <w:top w:val="none" w:sz="0" w:space="0" w:color="auto"/>
            <w:left w:val="none" w:sz="0" w:space="0" w:color="auto"/>
            <w:bottom w:val="none" w:sz="0" w:space="0" w:color="auto"/>
            <w:right w:val="none" w:sz="0" w:space="0" w:color="auto"/>
          </w:divBdr>
        </w:div>
        <w:div w:id="284628479">
          <w:marLeft w:val="0"/>
          <w:marRight w:val="0"/>
          <w:marTop w:val="0"/>
          <w:marBottom w:val="0"/>
          <w:divBdr>
            <w:top w:val="none" w:sz="0" w:space="0" w:color="auto"/>
            <w:left w:val="none" w:sz="0" w:space="0" w:color="auto"/>
            <w:bottom w:val="none" w:sz="0" w:space="0" w:color="auto"/>
            <w:right w:val="none" w:sz="0" w:space="0" w:color="auto"/>
          </w:divBdr>
        </w:div>
        <w:div w:id="1425956008">
          <w:marLeft w:val="0"/>
          <w:marRight w:val="0"/>
          <w:marTop w:val="0"/>
          <w:marBottom w:val="0"/>
          <w:divBdr>
            <w:top w:val="none" w:sz="0" w:space="0" w:color="auto"/>
            <w:left w:val="none" w:sz="0" w:space="0" w:color="auto"/>
            <w:bottom w:val="none" w:sz="0" w:space="0" w:color="auto"/>
            <w:right w:val="none" w:sz="0" w:space="0" w:color="auto"/>
          </w:divBdr>
        </w:div>
        <w:div w:id="1333684120">
          <w:marLeft w:val="0"/>
          <w:marRight w:val="0"/>
          <w:marTop w:val="0"/>
          <w:marBottom w:val="0"/>
          <w:divBdr>
            <w:top w:val="none" w:sz="0" w:space="0" w:color="auto"/>
            <w:left w:val="none" w:sz="0" w:space="0" w:color="auto"/>
            <w:bottom w:val="none" w:sz="0" w:space="0" w:color="auto"/>
            <w:right w:val="none" w:sz="0" w:space="0" w:color="auto"/>
          </w:divBdr>
        </w:div>
        <w:div w:id="1727220195">
          <w:marLeft w:val="0"/>
          <w:marRight w:val="0"/>
          <w:marTop w:val="0"/>
          <w:marBottom w:val="0"/>
          <w:divBdr>
            <w:top w:val="none" w:sz="0" w:space="0" w:color="auto"/>
            <w:left w:val="none" w:sz="0" w:space="0" w:color="auto"/>
            <w:bottom w:val="none" w:sz="0" w:space="0" w:color="auto"/>
            <w:right w:val="none" w:sz="0" w:space="0" w:color="auto"/>
          </w:divBdr>
        </w:div>
        <w:div w:id="670529792">
          <w:marLeft w:val="0"/>
          <w:marRight w:val="0"/>
          <w:marTop w:val="0"/>
          <w:marBottom w:val="0"/>
          <w:divBdr>
            <w:top w:val="none" w:sz="0" w:space="0" w:color="auto"/>
            <w:left w:val="none" w:sz="0" w:space="0" w:color="auto"/>
            <w:bottom w:val="none" w:sz="0" w:space="0" w:color="auto"/>
            <w:right w:val="none" w:sz="0" w:space="0" w:color="auto"/>
          </w:divBdr>
        </w:div>
      </w:divsChild>
    </w:div>
    <w:div w:id="1022318530">
      <w:bodyDiv w:val="1"/>
      <w:marLeft w:val="0"/>
      <w:marRight w:val="0"/>
      <w:marTop w:val="0"/>
      <w:marBottom w:val="0"/>
      <w:divBdr>
        <w:top w:val="none" w:sz="0" w:space="0" w:color="auto"/>
        <w:left w:val="none" w:sz="0" w:space="0" w:color="auto"/>
        <w:bottom w:val="none" w:sz="0" w:space="0" w:color="auto"/>
        <w:right w:val="none" w:sz="0" w:space="0" w:color="auto"/>
      </w:divBdr>
      <w:divsChild>
        <w:div w:id="179398617">
          <w:marLeft w:val="0"/>
          <w:marRight w:val="0"/>
          <w:marTop w:val="0"/>
          <w:marBottom w:val="0"/>
          <w:divBdr>
            <w:top w:val="none" w:sz="0" w:space="0" w:color="auto"/>
            <w:left w:val="none" w:sz="0" w:space="0" w:color="auto"/>
            <w:bottom w:val="none" w:sz="0" w:space="0" w:color="auto"/>
            <w:right w:val="none" w:sz="0" w:space="0" w:color="auto"/>
          </w:divBdr>
        </w:div>
        <w:div w:id="432700875">
          <w:marLeft w:val="0"/>
          <w:marRight w:val="0"/>
          <w:marTop w:val="0"/>
          <w:marBottom w:val="0"/>
          <w:divBdr>
            <w:top w:val="none" w:sz="0" w:space="0" w:color="auto"/>
            <w:left w:val="none" w:sz="0" w:space="0" w:color="auto"/>
            <w:bottom w:val="none" w:sz="0" w:space="0" w:color="auto"/>
            <w:right w:val="none" w:sz="0" w:space="0" w:color="auto"/>
          </w:divBdr>
        </w:div>
        <w:div w:id="187377791">
          <w:marLeft w:val="0"/>
          <w:marRight w:val="0"/>
          <w:marTop w:val="0"/>
          <w:marBottom w:val="0"/>
          <w:divBdr>
            <w:top w:val="none" w:sz="0" w:space="0" w:color="auto"/>
            <w:left w:val="none" w:sz="0" w:space="0" w:color="auto"/>
            <w:bottom w:val="none" w:sz="0" w:space="0" w:color="auto"/>
            <w:right w:val="none" w:sz="0" w:space="0" w:color="auto"/>
          </w:divBdr>
        </w:div>
        <w:div w:id="655307451">
          <w:marLeft w:val="0"/>
          <w:marRight w:val="0"/>
          <w:marTop w:val="0"/>
          <w:marBottom w:val="0"/>
          <w:divBdr>
            <w:top w:val="none" w:sz="0" w:space="0" w:color="auto"/>
            <w:left w:val="none" w:sz="0" w:space="0" w:color="auto"/>
            <w:bottom w:val="none" w:sz="0" w:space="0" w:color="auto"/>
            <w:right w:val="none" w:sz="0" w:space="0" w:color="auto"/>
          </w:divBdr>
        </w:div>
        <w:div w:id="1309438996">
          <w:marLeft w:val="0"/>
          <w:marRight w:val="0"/>
          <w:marTop w:val="0"/>
          <w:marBottom w:val="0"/>
          <w:divBdr>
            <w:top w:val="none" w:sz="0" w:space="0" w:color="auto"/>
            <w:left w:val="none" w:sz="0" w:space="0" w:color="auto"/>
            <w:bottom w:val="none" w:sz="0" w:space="0" w:color="auto"/>
            <w:right w:val="none" w:sz="0" w:space="0" w:color="auto"/>
          </w:divBdr>
        </w:div>
        <w:div w:id="1591155091">
          <w:marLeft w:val="0"/>
          <w:marRight w:val="0"/>
          <w:marTop w:val="0"/>
          <w:marBottom w:val="0"/>
          <w:divBdr>
            <w:top w:val="none" w:sz="0" w:space="0" w:color="auto"/>
            <w:left w:val="none" w:sz="0" w:space="0" w:color="auto"/>
            <w:bottom w:val="none" w:sz="0" w:space="0" w:color="auto"/>
            <w:right w:val="none" w:sz="0" w:space="0" w:color="auto"/>
          </w:divBdr>
        </w:div>
      </w:divsChild>
    </w:div>
    <w:div w:id="1210337341">
      <w:bodyDiv w:val="1"/>
      <w:marLeft w:val="0"/>
      <w:marRight w:val="0"/>
      <w:marTop w:val="0"/>
      <w:marBottom w:val="0"/>
      <w:divBdr>
        <w:top w:val="none" w:sz="0" w:space="0" w:color="auto"/>
        <w:left w:val="none" w:sz="0" w:space="0" w:color="auto"/>
        <w:bottom w:val="none" w:sz="0" w:space="0" w:color="auto"/>
        <w:right w:val="none" w:sz="0" w:space="0" w:color="auto"/>
      </w:divBdr>
    </w:div>
    <w:div w:id="1505438395">
      <w:bodyDiv w:val="1"/>
      <w:marLeft w:val="0"/>
      <w:marRight w:val="0"/>
      <w:marTop w:val="0"/>
      <w:marBottom w:val="0"/>
      <w:divBdr>
        <w:top w:val="none" w:sz="0" w:space="0" w:color="auto"/>
        <w:left w:val="none" w:sz="0" w:space="0" w:color="auto"/>
        <w:bottom w:val="none" w:sz="0" w:space="0" w:color="auto"/>
        <w:right w:val="none" w:sz="0" w:space="0" w:color="auto"/>
      </w:divBdr>
    </w:div>
    <w:div w:id="1626430309">
      <w:bodyDiv w:val="1"/>
      <w:marLeft w:val="0"/>
      <w:marRight w:val="0"/>
      <w:marTop w:val="0"/>
      <w:marBottom w:val="0"/>
      <w:divBdr>
        <w:top w:val="none" w:sz="0" w:space="0" w:color="auto"/>
        <w:left w:val="none" w:sz="0" w:space="0" w:color="auto"/>
        <w:bottom w:val="none" w:sz="0" w:space="0" w:color="auto"/>
        <w:right w:val="none" w:sz="0" w:space="0" w:color="auto"/>
      </w:divBdr>
    </w:div>
    <w:div w:id="1679964218">
      <w:bodyDiv w:val="1"/>
      <w:marLeft w:val="0"/>
      <w:marRight w:val="0"/>
      <w:marTop w:val="0"/>
      <w:marBottom w:val="0"/>
      <w:divBdr>
        <w:top w:val="none" w:sz="0" w:space="0" w:color="auto"/>
        <w:left w:val="none" w:sz="0" w:space="0" w:color="auto"/>
        <w:bottom w:val="none" w:sz="0" w:space="0" w:color="auto"/>
        <w:right w:val="none" w:sz="0" w:space="0" w:color="auto"/>
      </w:divBdr>
      <w:divsChild>
        <w:div w:id="15816087">
          <w:marLeft w:val="0"/>
          <w:marRight w:val="0"/>
          <w:marTop w:val="0"/>
          <w:marBottom w:val="0"/>
          <w:divBdr>
            <w:top w:val="none" w:sz="0" w:space="0" w:color="auto"/>
            <w:left w:val="none" w:sz="0" w:space="0" w:color="auto"/>
            <w:bottom w:val="none" w:sz="0" w:space="0" w:color="auto"/>
            <w:right w:val="none" w:sz="0" w:space="0" w:color="auto"/>
          </w:divBdr>
        </w:div>
        <w:div w:id="701828793">
          <w:marLeft w:val="0"/>
          <w:marRight w:val="0"/>
          <w:marTop w:val="0"/>
          <w:marBottom w:val="0"/>
          <w:divBdr>
            <w:top w:val="none" w:sz="0" w:space="0" w:color="auto"/>
            <w:left w:val="none" w:sz="0" w:space="0" w:color="auto"/>
            <w:bottom w:val="none" w:sz="0" w:space="0" w:color="auto"/>
            <w:right w:val="none" w:sz="0" w:space="0" w:color="auto"/>
          </w:divBdr>
        </w:div>
        <w:div w:id="1703019528">
          <w:marLeft w:val="0"/>
          <w:marRight w:val="0"/>
          <w:marTop w:val="0"/>
          <w:marBottom w:val="0"/>
          <w:divBdr>
            <w:top w:val="none" w:sz="0" w:space="0" w:color="auto"/>
            <w:left w:val="none" w:sz="0" w:space="0" w:color="auto"/>
            <w:bottom w:val="none" w:sz="0" w:space="0" w:color="auto"/>
            <w:right w:val="none" w:sz="0" w:space="0" w:color="auto"/>
          </w:divBdr>
        </w:div>
        <w:div w:id="1067804035">
          <w:marLeft w:val="0"/>
          <w:marRight w:val="0"/>
          <w:marTop w:val="0"/>
          <w:marBottom w:val="0"/>
          <w:divBdr>
            <w:top w:val="none" w:sz="0" w:space="0" w:color="auto"/>
            <w:left w:val="none" w:sz="0" w:space="0" w:color="auto"/>
            <w:bottom w:val="none" w:sz="0" w:space="0" w:color="auto"/>
            <w:right w:val="none" w:sz="0" w:space="0" w:color="auto"/>
          </w:divBdr>
        </w:div>
        <w:div w:id="2067295207">
          <w:marLeft w:val="0"/>
          <w:marRight w:val="0"/>
          <w:marTop w:val="0"/>
          <w:marBottom w:val="0"/>
          <w:divBdr>
            <w:top w:val="none" w:sz="0" w:space="0" w:color="auto"/>
            <w:left w:val="none" w:sz="0" w:space="0" w:color="auto"/>
            <w:bottom w:val="none" w:sz="0" w:space="0" w:color="auto"/>
            <w:right w:val="none" w:sz="0" w:space="0" w:color="auto"/>
          </w:divBdr>
        </w:div>
        <w:div w:id="42522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499</Words>
  <Characters>2749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enciso</dc:creator>
  <cp:keywords/>
  <dc:description/>
  <cp:lastModifiedBy>marta enciso</cp:lastModifiedBy>
  <cp:revision>9</cp:revision>
  <dcterms:created xsi:type="dcterms:W3CDTF">2018-03-13T14:43:00Z</dcterms:created>
  <dcterms:modified xsi:type="dcterms:W3CDTF">2018-03-21T10:25:00Z</dcterms:modified>
</cp:coreProperties>
</file>