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46E" w:rsidRPr="006D41C5" w:rsidRDefault="005C446E" w:rsidP="00994B34">
      <w:pPr>
        <w:spacing w:line="324" w:lineRule="atLeast"/>
        <w:jc w:val="both"/>
        <w:outlineLvl w:val="0"/>
        <w:rPr>
          <w:rFonts w:ascii="Arial" w:eastAsia="Times New Roman" w:hAnsi="Arial" w:cs="Arial"/>
          <w:b/>
          <w:color w:val="000000" w:themeColor="text1"/>
          <w:sz w:val="22"/>
          <w:szCs w:val="22"/>
          <w:u w:val="single"/>
          <w:lang w:val="es-ES" w:eastAsia="es-ES"/>
        </w:rPr>
      </w:pPr>
      <w:r w:rsidRPr="006D41C5">
        <w:rPr>
          <w:rFonts w:ascii="Arial" w:eastAsia="Times New Roman" w:hAnsi="Arial" w:cs="Arial"/>
          <w:b/>
          <w:color w:val="000000" w:themeColor="text1"/>
          <w:sz w:val="22"/>
          <w:szCs w:val="22"/>
          <w:u w:val="single"/>
          <w:lang w:val="es-ES" w:eastAsia="es-ES"/>
        </w:rPr>
        <w:t>CONSULTA Nº</w:t>
      </w:r>
      <w:r w:rsidR="00D86106" w:rsidRPr="006D41C5">
        <w:rPr>
          <w:rFonts w:ascii="Arial" w:eastAsia="Times New Roman" w:hAnsi="Arial" w:cs="Arial"/>
          <w:b/>
          <w:color w:val="000000" w:themeColor="text1"/>
          <w:sz w:val="22"/>
          <w:szCs w:val="22"/>
          <w:u w:val="single"/>
          <w:lang w:val="es-ES" w:eastAsia="es-ES"/>
        </w:rPr>
        <w:t>7</w:t>
      </w:r>
      <w:r w:rsidRPr="006D41C5">
        <w:rPr>
          <w:rFonts w:ascii="Arial" w:eastAsia="Times New Roman" w:hAnsi="Arial" w:cs="Arial"/>
          <w:b/>
          <w:color w:val="000000" w:themeColor="text1"/>
          <w:sz w:val="22"/>
          <w:szCs w:val="22"/>
          <w:u w:val="single"/>
          <w:lang w:val="es-ES" w:eastAsia="es-ES"/>
        </w:rPr>
        <w:t>: </w:t>
      </w:r>
    </w:p>
    <w:p w:rsidR="00C5394E" w:rsidRPr="006D41C5" w:rsidRDefault="005C446E" w:rsidP="00C5394E">
      <w:pPr>
        <w:jc w:val="both"/>
        <w:rPr>
          <w:rFonts w:ascii="Arial" w:eastAsia="Times New Roman" w:hAnsi="Arial" w:cs="Arial"/>
          <w:color w:val="000000" w:themeColor="text1"/>
          <w:sz w:val="22"/>
          <w:szCs w:val="22"/>
          <w:shd w:val="clear" w:color="auto" w:fill="FFFFFF"/>
          <w:lang w:val="es-ES" w:eastAsia="es-ES"/>
        </w:rPr>
      </w:pPr>
      <w:r w:rsidRPr="006D41C5">
        <w:rPr>
          <w:rFonts w:ascii="Arial" w:eastAsia="Times New Roman" w:hAnsi="Arial" w:cs="Arial"/>
          <w:color w:val="000000" w:themeColor="text1"/>
          <w:sz w:val="22"/>
          <w:szCs w:val="22"/>
          <w:lang w:val="es-ES" w:eastAsia="es-ES"/>
        </w:rPr>
        <w:br/>
      </w:r>
      <w:r w:rsidR="00D86106" w:rsidRPr="006D41C5">
        <w:rPr>
          <w:rFonts w:ascii="Arial" w:eastAsia="Times New Roman" w:hAnsi="Arial" w:cs="Arial"/>
          <w:color w:val="000000" w:themeColor="text1"/>
          <w:sz w:val="22"/>
          <w:szCs w:val="22"/>
          <w:shd w:val="clear" w:color="auto" w:fill="FFFFFF"/>
          <w:lang w:val="es-ES" w:eastAsia="es-ES"/>
        </w:rPr>
        <w:t>Quisiéramos que nos informaran sobre los siguientes casos:</w:t>
      </w:r>
    </w:p>
    <w:p w:rsidR="00C5394E" w:rsidRPr="006D41C5" w:rsidRDefault="00D86106" w:rsidP="00C5394E">
      <w:pPr>
        <w:jc w:val="both"/>
        <w:rPr>
          <w:rFonts w:ascii="Arial" w:eastAsia="Times New Roman" w:hAnsi="Arial" w:cs="Arial"/>
          <w:color w:val="000000" w:themeColor="text1"/>
          <w:sz w:val="22"/>
          <w:szCs w:val="22"/>
          <w:shd w:val="clear" w:color="auto" w:fill="FFFFFF"/>
          <w:lang w:val="es-ES" w:eastAsia="es-ES"/>
        </w:rPr>
      </w:pPr>
      <w:r w:rsidRPr="006D41C5">
        <w:rPr>
          <w:rFonts w:ascii="Arial" w:eastAsia="Times New Roman" w:hAnsi="Arial" w:cs="Arial"/>
          <w:color w:val="000000" w:themeColor="text1"/>
          <w:sz w:val="22"/>
          <w:szCs w:val="22"/>
          <w:lang w:val="es-ES" w:eastAsia="es-ES"/>
        </w:rPr>
        <w:br/>
      </w:r>
      <w:r w:rsidRPr="006D41C5">
        <w:rPr>
          <w:rFonts w:ascii="Arial" w:eastAsia="Times New Roman" w:hAnsi="Arial" w:cs="Arial"/>
          <w:color w:val="000000" w:themeColor="text1"/>
          <w:sz w:val="22"/>
          <w:szCs w:val="22"/>
          <w:shd w:val="clear" w:color="auto" w:fill="FFFFFF"/>
          <w:lang w:val="es-ES" w:eastAsia="es-ES"/>
        </w:rPr>
        <w:t>-  Que penalización tiene si un licitador seleccionado, que ha sido ganador de uno de los lotes, no presenta la documentación o declara que renuncia al lote, durante los 10 d as que indica el punto 20.1 de la página 38 del pliego de condiciones económica-administrativas particulares? </w:t>
      </w:r>
      <w:r w:rsidR="000879B5" w:rsidRPr="006D41C5">
        <w:rPr>
          <w:rFonts w:ascii="Arial" w:eastAsia="Times New Roman" w:hAnsi="Arial" w:cs="Arial"/>
          <w:color w:val="000000" w:themeColor="text1"/>
          <w:sz w:val="22"/>
          <w:szCs w:val="22"/>
          <w:shd w:val="clear" w:color="auto" w:fill="FFFFFF"/>
          <w:lang w:val="es-ES" w:eastAsia="es-ES"/>
        </w:rPr>
        <w:t>¿Cómo se evitará la renuncia en cascada?</w:t>
      </w:r>
    </w:p>
    <w:p w:rsidR="00D86106" w:rsidRPr="006D41C5" w:rsidRDefault="00D86106" w:rsidP="00C5394E">
      <w:pPr>
        <w:jc w:val="both"/>
        <w:rPr>
          <w:rFonts w:ascii="Arial" w:eastAsia="Times New Roman" w:hAnsi="Arial" w:cs="Arial"/>
          <w:color w:val="000000" w:themeColor="text1"/>
          <w:sz w:val="22"/>
          <w:szCs w:val="22"/>
          <w:lang w:val="es-ES" w:eastAsia="es-ES"/>
        </w:rPr>
      </w:pPr>
      <w:r w:rsidRPr="006D41C5">
        <w:rPr>
          <w:rFonts w:ascii="Arial" w:eastAsia="Times New Roman" w:hAnsi="Arial" w:cs="Arial"/>
          <w:color w:val="000000" w:themeColor="text1"/>
          <w:sz w:val="22"/>
          <w:szCs w:val="22"/>
          <w:lang w:val="es-ES" w:eastAsia="es-ES"/>
        </w:rPr>
        <w:br/>
      </w:r>
      <w:r w:rsidRPr="006D41C5">
        <w:rPr>
          <w:rFonts w:ascii="Arial" w:eastAsia="Times New Roman" w:hAnsi="Arial" w:cs="Arial"/>
          <w:color w:val="000000" w:themeColor="text1"/>
          <w:sz w:val="22"/>
          <w:szCs w:val="22"/>
          <w:shd w:val="clear" w:color="auto" w:fill="FFFFFF"/>
          <w:lang w:val="es-ES" w:eastAsia="es-ES"/>
        </w:rPr>
        <w:t xml:space="preserve">- En el caso de los lotes de kayaks. </w:t>
      </w:r>
      <w:r w:rsidR="00C5394E" w:rsidRPr="006D41C5">
        <w:rPr>
          <w:rFonts w:ascii="Arial" w:eastAsia="Times New Roman" w:hAnsi="Arial" w:cs="Arial"/>
          <w:color w:val="000000" w:themeColor="text1"/>
          <w:sz w:val="22"/>
          <w:szCs w:val="22"/>
          <w:shd w:val="clear" w:color="auto" w:fill="FFFFFF"/>
          <w:lang w:val="es-ES" w:eastAsia="es-ES"/>
        </w:rPr>
        <w:t xml:space="preserve">¿El licitador seleccionado puede solicitar intercambiar alguno de los Kayaks por </w:t>
      </w:r>
      <w:proofErr w:type="spellStart"/>
      <w:r w:rsidR="00C5394E" w:rsidRPr="006D41C5">
        <w:rPr>
          <w:rFonts w:ascii="Arial" w:eastAsia="Times New Roman" w:hAnsi="Arial" w:cs="Arial"/>
          <w:color w:val="000000" w:themeColor="text1"/>
          <w:sz w:val="22"/>
          <w:szCs w:val="22"/>
          <w:shd w:val="clear" w:color="auto" w:fill="FFFFFF"/>
          <w:lang w:val="es-ES" w:eastAsia="es-ES"/>
        </w:rPr>
        <w:t>Velorames</w:t>
      </w:r>
      <w:proofErr w:type="spellEnd"/>
      <w:r w:rsidR="00C5394E" w:rsidRPr="006D41C5">
        <w:rPr>
          <w:rFonts w:ascii="Arial" w:eastAsia="Times New Roman" w:hAnsi="Arial" w:cs="Arial"/>
          <w:color w:val="000000" w:themeColor="text1"/>
          <w:sz w:val="22"/>
          <w:szCs w:val="22"/>
          <w:shd w:val="clear" w:color="auto" w:fill="FFFFFF"/>
          <w:lang w:val="es-ES" w:eastAsia="es-ES"/>
        </w:rPr>
        <w:t>, elementos sin motor y con el mismo impacto que los Kayaks?</w:t>
      </w:r>
    </w:p>
    <w:p w:rsidR="00E61B4C" w:rsidRPr="006D41C5" w:rsidRDefault="00E61B4C" w:rsidP="00C5394E">
      <w:pPr>
        <w:jc w:val="both"/>
        <w:rPr>
          <w:rFonts w:ascii="Arial" w:eastAsia="Times New Roman" w:hAnsi="Arial" w:cs="Arial"/>
          <w:color w:val="000000" w:themeColor="text1"/>
          <w:sz w:val="22"/>
          <w:szCs w:val="22"/>
          <w:lang w:val="es-ES" w:eastAsia="es-ES"/>
        </w:rPr>
      </w:pPr>
    </w:p>
    <w:p w:rsidR="005C446E" w:rsidRPr="006D41C5" w:rsidRDefault="00750491" w:rsidP="00994B34">
      <w:pPr>
        <w:jc w:val="both"/>
        <w:outlineLvl w:val="0"/>
        <w:rPr>
          <w:rFonts w:ascii="Arial" w:eastAsia="Times New Roman" w:hAnsi="Arial" w:cs="Arial"/>
          <w:b/>
          <w:color w:val="000000" w:themeColor="text1"/>
          <w:sz w:val="22"/>
          <w:szCs w:val="22"/>
          <w:u w:val="single"/>
          <w:lang w:val="es-ES" w:eastAsia="es-ES"/>
        </w:rPr>
      </w:pPr>
      <w:r w:rsidRPr="006D41C5">
        <w:rPr>
          <w:rFonts w:ascii="Arial" w:eastAsia="Times New Roman" w:hAnsi="Arial" w:cs="Arial"/>
          <w:color w:val="000000" w:themeColor="text1"/>
          <w:sz w:val="22"/>
          <w:szCs w:val="22"/>
          <w:lang w:val="es-ES" w:eastAsia="es-ES"/>
        </w:rPr>
        <w:t> </w:t>
      </w:r>
      <w:r w:rsidR="005C446E" w:rsidRPr="006D41C5">
        <w:rPr>
          <w:rFonts w:ascii="Arial" w:eastAsia="Times New Roman" w:hAnsi="Arial" w:cs="Arial"/>
          <w:b/>
          <w:color w:val="000000" w:themeColor="text1"/>
          <w:sz w:val="22"/>
          <w:szCs w:val="22"/>
          <w:u w:val="single"/>
          <w:lang w:val="es-ES" w:eastAsia="es-ES"/>
        </w:rPr>
        <w:t>RESP</w:t>
      </w:r>
      <w:r w:rsidRPr="006D41C5">
        <w:rPr>
          <w:rFonts w:ascii="Arial" w:eastAsia="Times New Roman" w:hAnsi="Arial" w:cs="Arial"/>
          <w:b/>
          <w:color w:val="000000" w:themeColor="text1"/>
          <w:sz w:val="22"/>
          <w:szCs w:val="22"/>
          <w:u w:val="single"/>
          <w:lang w:val="es-ES" w:eastAsia="es-ES"/>
        </w:rPr>
        <w:t>UE</w:t>
      </w:r>
      <w:r w:rsidR="005C446E" w:rsidRPr="006D41C5">
        <w:rPr>
          <w:rFonts w:ascii="Arial" w:eastAsia="Times New Roman" w:hAnsi="Arial" w:cs="Arial"/>
          <w:b/>
          <w:color w:val="000000" w:themeColor="text1"/>
          <w:sz w:val="22"/>
          <w:szCs w:val="22"/>
          <w:u w:val="single"/>
          <w:lang w:val="es-ES" w:eastAsia="es-ES"/>
        </w:rPr>
        <w:t>STA:</w:t>
      </w:r>
    </w:p>
    <w:p w:rsidR="00C5394E" w:rsidRPr="006D41C5" w:rsidRDefault="00C5394E" w:rsidP="00C5394E">
      <w:pPr>
        <w:jc w:val="both"/>
        <w:rPr>
          <w:rFonts w:ascii="Arial" w:eastAsia="Times New Roman" w:hAnsi="Arial" w:cs="Arial"/>
          <w:b/>
          <w:color w:val="000000" w:themeColor="text1"/>
          <w:sz w:val="22"/>
          <w:szCs w:val="22"/>
          <w:u w:val="single"/>
          <w:lang w:val="es-ES" w:eastAsia="es-ES"/>
        </w:rPr>
      </w:pPr>
    </w:p>
    <w:p w:rsidR="00FA4EBD" w:rsidRPr="00CC4A69" w:rsidRDefault="00FA4EBD" w:rsidP="00CC4A69">
      <w:pPr>
        <w:pStyle w:val="Prrafodelista"/>
        <w:numPr>
          <w:ilvl w:val="0"/>
          <w:numId w:val="14"/>
        </w:numPr>
        <w:jc w:val="both"/>
        <w:outlineLvl w:val="0"/>
        <w:rPr>
          <w:rFonts w:ascii="Arial" w:hAnsi="Arial" w:cs="Arial"/>
          <w:b/>
          <w:color w:val="000000" w:themeColor="text1"/>
          <w:sz w:val="22"/>
          <w:szCs w:val="22"/>
          <w:lang w:val="es-ES"/>
        </w:rPr>
      </w:pPr>
      <w:r w:rsidRPr="00CC4A69">
        <w:rPr>
          <w:rFonts w:ascii="Arial" w:hAnsi="Arial" w:cs="Arial"/>
          <w:b/>
          <w:color w:val="000000" w:themeColor="text1"/>
          <w:sz w:val="22"/>
          <w:szCs w:val="22"/>
          <w:lang w:val="es-ES"/>
        </w:rPr>
        <w:t>En relación a la primera parte de la consulta:</w:t>
      </w:r>
    </w:p>
    <w:p w:rsidR="00FA4EBD" w:rsidRPr="006D41C5" w:rsidRDefault="00FA4EBD" w:rsidP="000879B5">
      <w:pPr>
        <w:jc w:val="both"/>
        <w:rPr>
          <w:rFonts w:ascii="Arial" w:hAnsi="Arial" w:cs="Arial"/>
          <w:b/>
          <w:color w:val="000000" w:themeColor="text1"/>
          <w:sz w:val="22"/>
          <w:szCs w:val="22"/>
          <w:lang w:val="es-ES"/>
        </w:rPr>
      </w:pPr>
    </w:p>
    <w:p w:rsidR="000879B5" w:rsidRPr="006D41C5" w:rsidRDefault="000879B5" w:rsidP="000879B5">
      <w:pPr>
        <w:jc w:val="both"/>
        <w:rPr>
          <w:rFonts w:ascii="Arial" w:hAnsi="Arial" w:cs="Arial"/>
          <w:color w:val="000000" w:themeColor="text1"/>
          <w:sz w:val="22"/>
          <w:szCs w:val="22"/>
          <w:lang w:val="es-ES"/>
        </w:rPr>
      </w:pPr>
      <w:r w:rsidRPr="006D41C5">
        <w:rPr>
          <w:rFonts w:ascii="Arial" w:hAnsi="Arial" w:cs="Arial"/>
          <w:color w:val="000000" w:themeColor="text1"/>
          <w:sz w:val="22"/>
          <w:szCs w:val="22"/>
          <w:lang w:val="es-ES"/>
        </w:rPr>
        <w:t xml:space="preserve">La retirada </w:t>
      </w:r>
      <w:r w:rsidR="00FA4EBD" w:rsidRPr="006D41C5">
        <w:rPr>
          <w:rFonts w:ascii="Arial" w:hAnsi="Arial" w:cs="Arial"/>
          <w:color w:val="000000" w:themeColor="text1"/>
          <w:sz w:val="22"/>
          <w:szCs w:val="22"/>
          <w:lang w:val="es-ES"/>
        </w:rPr>
        <w:t>injustificada</w:t>
      </w:r>
      <w:r w:rsidRPr="006D41C5">
        <w:rPr>
          <w:rFonts w:ascii="Arial" w:hAnsi="Arial" w:cs="Arial"/>
          <w:color w:val="000000" w:themeColor="text1"/>
          <w:sz w:val="22"/>
          <w:szCs w:val="22"/>
          <w:lang w:val="es-ES"/>
        </w:rPr>
        <w:t xml:space="preserve"> de ofertas tiene como efectos </w:t>
      </w:r>
      <w:r w:rsidR="00291455" w:rsidRPr="00291455">
        <w:rPr>
          <w:rFonts w:ascii="Arial" w:hAnsi="Arial" w:cs="Arial"/>
          <w:b/>
          <w:color w:val="000000" w:themeColor="text1"/>
          <w:sz w:val="22"/>
          <w:szCs w:val="22"/>
          <w:lang w:val="es-ES"/>
        </w:rPr>
        <w:t>la confiscación de la garantía provisional</w:t>
      </w:r>
      <w:r w:rsidR="00291455">
        <w:rPr>
          <w:rFonts w:ascii="Arial" w:hAnsi="Arial" w:cs="Arial"/>
          <w:color w:val="000000" w:themeColor="text1"/>
          <w:sz w:val="22"/>
          <w:szCs w:val="22"/>
          <w:lang w:val="es-ES"/>
        </w:rPr>
        <w:t>, como dispone la cláusula 12.9 d</w:t>
      </w:r>
      <w:r w:rsidRPr="006D41C5">
        <w:rPr>
          <w:rFonts w:ascii="Arial" w:hAnsi="Arial" w:cs="Arial"/>
          <w:color w:val="000000" w:themeColor="text1"/>
          <w:sz w:val="22"/>
          <w:szCs w:val="22"/>
          <w:lang w:val="es-ES"/>
        </w:rPr>
        <w:t>el PCAP, que prevé</w:t>
      </w:r>
      <w:r w:rsidR="00291455">
        <w:rPr>
          <w:rFonts w:ascii="Arial" w:hAnsi="Arial" w:cs="Arial"/>
          <w:color w:val="000000" w:themeColor="text1"/>
          <w:sz w:val="22"/>
          <w:szCs w:val="22"/>
          <w:lang w:val="es-ES"/>
        </w:rPr>
        <w:t xml:space="preserve">, en consonancia con el artículo 151.2 del </w:t>
      </w:r>
      <w:r w:rsidR="00291455" w:rsidRPr="00291455">
        <w:rPr>
          <w:rFonts w:ascii="Arial" w:hAnsi="Arial" w:cs="Arial"/>
          <w:color w:val="000000" w:themeColor="text1"/>
          <w:sz w:val="22"/>
          <w:szCs w:val="22"/>
          <w:lang w:val="es-ES"/>
        </w:rPr>
        <w:t>Texto Refundido de la Ley de Contratos del Sector Público</w:t>
      </w:r>
      <w:r w:rsidR="00291455">
        <w:rPr>
          <w:rFonts w:ascii="Arial" w:hAnsi="Arial" w:cs="Arial"/>
          <w:color w:val="000000" w:themeColor="text1"/>
          <w:sz w:val="22"/>
          <w:szCs w:val="22"/>
          <w:lang w:val="es-ES"/>
        </w:rPr>
        <w:t xml:space="preserve"> (TRLCSP)</w:t>
      </w:r>
      <w:r w:rsidRPr="006D41C5">
        <w:rPr>
          <w:rFonts w:ascii="Arial" w:hAnsi="Arial" w:cs="Arial"/>
          <w:color w:val="000000" w:themeColor="text1"/>
          <w:sz w:val="22"/>
          <w:szCs w:val="22"/>
          <w:lang w:val="es-ES"/>
        </w:rPr>
        <w:t>:</w:t>
      </w:r>
    </w:p>
    <w:p w:rsidR="000879B5" w:rsidRPr="006D41C5" w:rsidRDefault="000879B5" w:rsidP="000879B5">
      <w:pPr>
        <w:jc w:val="both"/>
        <w:rPr>
          <w:rFonts w:ascii="Arial" w:hAnsi="Arial" w:cs="Arial"/>
          <w:b/>
          <w:color w:val="000000" w:themeColor="text1"/>
          <w:sz w:val="22"/>
          <w:szCs w:val="22"/>
          <w:lang w:val="es-ES"/>
        </w:rPr>
      </w:pPr>
    </w:p>
    <w:p w:rsidR="000879B5" w:rsidRPr="006D41C5" w:rsidRDefault="000879B5" w:rsidP="00FA4EBD">
      <w:pPr>
        <w:ind w:left="708"/>
        <w:jc w:val="both"/>
        <w:rPr>
          <w:rFonts w:ascii="Arial" w:hAnsi="Arial" w:cs="Arial"/>
          <w:i/>
          <w:color w:val="000000" w:themeColor="text1"/>
          <w:sz w:val="22"/>
          <w:szCs w:val="22"/>
          <w:lang w:val="es-ES"/>
        </w:rPr>
      </w:pPr>
      <w:r w:rsidRPr="006D41C5">
        <w:rPr>
          <w:rFonts w:ascii="Arial" w:hAnsi="Arial" w:cs="Arial"/>
          <w:b/>
          <w:i/>
          <w:color w:val="000000" w:themeColor="text1"/>
          <w:sz w:val="22"/>
          <w:szCs w:val="22"/>
          <w:lang w:val="es-ES"/>
        </w:rPr>
        <w:t xml:space="preserve">12.9 </w:t>
      </w:r>
      <w:r w:rsidRPr="006D41C5">
        <w:rPr>
          <w:rFonts w:ascii="Arial" w:hAnsi="Arial" w:cs="Arial"/>
          <w:i/>
          <w:color w:val="000000" w:themeColor="text1"/>
          <w:sz w:val="22"/>
          <w:szCs w:val="22"/>
          <w:lang w:val="es-ES"/>
        </w:rPr>
        <w:t xml:space="preserve">(…)  Una vez entregada o remitida la proposición, no podrá ser retirada. </w:t>
      </w:r>
    </w:p>
    <w:p w:rsidR="00C5394E" w:rsidRPr="006D41C5" w:rsidRDefault="00C5394E" w:rsidP="00FA4EBD">
      <w:pPr>
        <w:ind w:left="708"/>
        <w:jc w:val="both"/>
        <w:rPr>
          <w:rFonts w:ascii="Arial" w:eastAsia="Times New Roman" w:hAnsi="Arial" w:cs="Arial"/>
          <w:b/>
          <w:i/>
          <w:color w:val="000000" w:themeColor="text1"/>
          <w:sz w:val="22"/>
          <w:szCs w:val="22"/>
          <w:u w:val="single"/>
          <w:lang w:val="es-ES" w:eastAsia="es-ES"/>
        </w:rPr>
      </w:pPr>
    </w:p>
    <w:p w:rsidR="000879B5" w:rsidRPr="006D41C5" w:rsidRDefault="000879B5" w:rsidP="00FA4EBD">
      <w:pPr>
        <w:tabs>
          <w:tab w:val="left" w:pos="-1440"/>
          <w:tab w:val="left" w:pos="-720"/>
        </w:tabs>
        <w:suppressAutoHyphens/>
        <w:ind w:left="708"/>
        <w:jc w:val="both"/>
        <w:rPr>
          <w:rFonts w:ascii="Arial" w:hAnsi="Arial" w:cs="Arial"/>
          <w:b/>
          <w:i/>
          <w:color w:val="000000" w:themeColor="text1"/>
          <w:sz w:val="22"/>
          <w:szCs w:val="22"/>
          <w:lang w:val="es-ES"/>
        </w:rPr>
      </w:pPr>
      <w:r w:rsidRPr="006D41C5">
        <w:rPr>
          <w:rFonts w:ascii="Arial" w:hAnsi="Arial" w:cs="Arial"/>
          <w:i/>
          <w:color w:val="000000" w:themeColor="text1"/>
          <w:sz w:val="22"/>
          <w:szCs w:val="22"/>
          <w:lang w:val="es-ES"/>
        </w:rPr>
        <w:t>“La garantía provisional se extinguirá automáticamente y será devuelta a los licitadores inmediatamente después de la adjudicación del contrato. En todo caso, la garantía será retenida al licitador cuya proposición haya sido seleccionada para la adjudicación hasta que constituya la garantía definitiva</w:t>
      </w:r>
      <w:r w:rsidRPr="006D41C5">
        <w:rPr>
          <w:rFonts w:ascii="Arial" w:hAnsi="Arial" w:cs="Arial"/>
          <w:b/>
          <w:i/>
          <w:color w:val="000000" w:themeColor="text1"/>
          <w:sz w:val="22"/>
          <w:szCs w:val="22"/>
          <w:lang w:val="es-ES"/>
        </w:rPr>
        <w:t>, y confiscada a las empresas que retiren injustificadamente su proposición antes de la adjudicación.”</w:t>
      </w:r>
    </w:p>
    <w:p w:rsidR="000879B5" w:rsidRPr="006D41C5" w:rsidRDefault="000879B5" w:rsidP="006D41C5">
      <w:pPr>
        <w:jc w:val="both"/>
        <w:rPr>
          <w:rFonts w:ascii="Arial" w:eastAsia="Times New Roman" w:hAnsi="Arial" w:cs="Arial"/>
          <w:b/>
          <w:color w:val="000000" w:themeColor="text1"/>
          <w:sz w:val="22"/>
          <w:szCs w:val="22"/>
          <w:u w:val="single"/>
          <w:lang w:val="es-ES" w:eastAsia="es-ES"/>
        </w:rPr>
      </w:pPr>
    </w:p>
    <w:p w:rsidR="000879B5" w:rsidRPr="006D41C5" w:rsidRDefault="000879B5" w:rsidP="006D41C5">
      <w:pPr>
        <w:autoSpaceDE w:val="0"/>
        <w:autoSpaceDN w:val="0"/>
        <w:adjustRightInd w:val="0"/>
        <w:jc w:val="both"/>
        <w:rPr>
          <w:rFonts w:ascii="Arial" w:hAnsi="Arial" w:cs="Arial"/>
          <w:color w:val="000000" w:themeColor="text1"/>
          <w:sz w:val="22"/>
          <w:szCs w:val="22"/>
          <w:lang w:val="es-ES"/>
        </w:rPr>
      </w:pPr>
      <w:r w:rsidRPr="006D41C5">
        <w:rPr>
          <w:rFonts w:ascii="Arial" w:hAnsi="Arial" w:cs="Arial"/>
          <w:color w:val="000000" w:themeColor="text1"/>
          <w:sz w:val="22"/>
          <w:szCs w:val="22"/>
          <w:lang w:val="es-ES"/>
        </w:rPr>
        <w:t xml:space="preserve">Así, como </w:t>
      </w:r>
      <w:r w:rsidR="00291455">
        <w:rPr>
          <w:rFonts w:ascii="Arial" w:hAnsi="Arial" w:cs="Arial"/>
          <w:color w:val="000000" w:themeColor="text1"/>
          <w:sz w:val="22"/>
          <w:szCs w:val="22"/>
          <w:lang w:val="es-ES"/>
        </w:rPr>
        <w:t xml:space="preserve">se prevé en el </w:t>
      </w:r>
      <w:r w:rsidR="006D41C5">
        <w:rPr>
          <w:rFonts w:ascii="Arial" w:hAnsi="Arial" w:cs="Arial"/>
          <w:color w:val="000000" w:themeColor="text1"/>
          <w:sz w:val="22"/>
          <w:szCs w:val="22"/>
          <w:lang w:val="es-ES"/>
        </w:rPr>
        <w:t>artículo 62.2 d</w:t>
      </w:r>
      <w:r w:rsidRPr="006D41C5">
        <w:rPr>
          <w:rFonts w:ascii="Arial" w:hAnsi="Arial" w:cs="Arial"/>
          <w:color w:val="000000" w:themeColor="text1"/>
          <w:sz w:val="22"/>
          <w:szCs w:val="22"/>
          <w:lang w:val="es-ES"/>
        </w:rPr>
        <w:t xml:space="preserve">el </w:t>
      </w:r>
      <w:r w:rsidR="006D41C5" w:rsidRPr="006D41C5">
        <w:rPr>
          <w:rFonts w:ascii="Arial" w:hAnsi="Arial" w:cs="Arial"/>
          <w:color w:val="000000" w:themeColor="text1"/>
          <w:sz w:val="22"/>
          <w:szCs w:val="22"/>
          <w:lang w:val="es-ES"/>
        </w:rPr>
        <w:t>RD 1098/2001</w:t>
      </w:r>
      <w:r w:rsidR="006D41C5">
        <w:rPr>
          <w:rFonts w:ascii="Arial" w:hAnsi="Arial" w:cs="Arial"/>
          <w:color w:val="000000" w:themeColor="text1"/>
          <w:sz w:val="22"/>
          <w:szCs w:val="22"/>
          <w:lang w:val="es-ES"/>
        </w:rPr>
        <w:t>, por el que se aprueba el r</w:t>
      </w:r>
      <w:r w:rsidRPr="006D41C5">
        <w:rPr>
          <w:rFonts w:ascii="Arial" w:hAnsi="Arial" w:cs="Arial"/>
          <w:color w:val="000000" w:themeColor="text1"/>
          <w:sz w:val="22"/>
          <w:szCs w:val="22"/>
          <w:lang w:val="es-ES"/>
        </w:rPr>
        <w:t xml:space="preserve">eglamento que </w:t>
      </w:r>
      <w:r w:rsidR="006D41C5">
        <w:rPr>
          <w:rFonts w:ascii="Arial" w:hAnsi="Arial" w:cs="Arial"/>
          <w:color w:val="000000" w:themeColor="text1"/>
          <w:sz w:val="22"/>
          <w:szCs w:val="22"/>
          <w:lang w:val="es-ES"/>
        </w:rPr>
        <w:t>desarrolla la Ley de Contratos</w:t>
      </w:r>
      <w:r w:rsidR="00291455">
        <w:rPr>
          <w:rFonts w:ascii="Arial" w:hAnsi="Arial" w:cs="Arial"/>
          <w:color w:val="000000" w:themeColor="text1"/>
          <w:sz w:val="22"/>
          <w:szCs w:val="22"/>
          <w:lang w:val="es-ES"/>
        </w:rPr>
        <w:t>, que</w:t>
      </w:r>
      <w:r w:rsidRPr="006D41C5">
        <w:rPr>
          <w:rFonts w:ascii="Arial" w:hAnsi="Arial" w:cs="Arial"/>
          <w:color w:val="000000" w:themeColor="text1"/>
          <w:sz w:val="22"/>
          <w:szCs w:val="22"/>
          <w:lang w:val="es-ES"/>
        </w:rPr>
        <w:t xml:space="preserve"> especifica:</w:t>
      </w:r>
    </w:p>
    <w:p w:rsidR="000879B5" w:rsidRPr="006D41C5" w:rsidRDefault="000879B5" w:rsidP="000879B5">
      <w:pPr>
        <w:autoSpaceDE w:val="0"/>
        <w:autoSpaceDN w:val="0"/>
        <w:adjustRightInd w:val="0"/>
        <w:rPr>
          <w:rFonts w:ascii="Arial" w:hAnsi="Arial" w:cs="Arial"/>
          <w:color w:val="000000" w:themeColor="text1"/>
          <w:sz w:val="22"/>
          <w:szCs w:val="22"/>
          <w:lang w:val="es-ES"/>
        </w:rPr>
      </w:pPr>
    </w:p>
    <w:p w:rsidR="000879B5" w:rsidRPr="006D41C5" w:rsidRDefault="000879B5" w:rsidP="00FA4EBD">
      <w:pPr>
        <w:autoSpaceDE w:val="0"/>
        <w:autoSpaceDN w:val="0"/>
        <w:adjustRightInd w:val="0"/>
        <w:ind w:left="708"/>
        <w:jc w:val="both"/>
        <w:rPr>
          <w:rFonts w:ascii="Arial" w:hAnsi="Arial" w:cs="Arial"/>
          <w:i/>
          <w:color w:val="000000" w:themeColor="text1"/>
          <w:sz w:val="22"/>
          <w:szCs w:val="22"/>
          <w:lang w:val="es-ES"/>
        </w:rPr>
      </w:pPr>
      <w:r w:rsidRPr="006D41C5">
        <w:rPr>
          <w:rFonts w:ascii="Arial" w:hAnsi="Arial" w:cs="Arial"/>
          <w:i/>
          <w:color w:val="000000" w:themeColor="text1"/>
          <w:sz w:val="22"/>
          <w:szCs w:val="22"/>
          <w:lang w:val="es-ES"/>
        </w:rPr>
        <w:t>1. Si algún licitador retira su proposición injustificadamente antes de la adjudicación o si el adjudicatario no constituye la garantía definitiva o, por causas imputables al mismo, no pudiese formalizarse en plazo el contrato</w:t>
      </w:r>
      <w:r w:rsidRPr="006D41C5">
        <w:rPr>
          <w:rFonts w:ascii="Arial" w:hAnsi="Arial" w:cs="Arial"/>
          <w:b/>
          <w:i/>
          <w:color w:val="000000" w:themeColor="text1"/>
          <w:sz w:val="22"/>
          <w:szCs w:val="22"/>
          <w:lang w:val="es-ES"/>
        </w:rPr>
        <w:t xml:space="preserve">, se procederá a la ejecución de la garantía provisional </w:t>
      </w:r>
      <w:r w:rsidRPr="006D41C5">
        <w:rPr>
          <w:rFonts w:ascii="Arial" w:hAnsi="Arial" w:cs="Arial"/>
          <w:i/>
          <w:color w:val="000000" w:themeColor="text1"/>
          <w:sz w:val="22"/>
          <w:szCs w:val="22"/>
          <w:lang w:val="es-ES"/>
        </w:rPr>
        <w:t>y a su ingreso en el Tesoro Público o a su transferencia a los organismos o entidades en cuyo favor quedó constituida. A tal efecto, se solicitará la incautación de la garantía a la Caja General de Depósitos o a los órganos equivalentes de las Comunidades Autónomas o Entidades locales donde quedó constituida.</w:t>
      </w:r>
    </w:p>
    <w:p w:rsidR="000879B5" w:rsidRPr="006D41C5" w:rsidRDefault="000879B5" w:rsidP="00FA4EBD">
      <w:pPr>
        <w:autoSpaceDE w:val="0"/>
        <w:autoSpaceDN w:val="0"/>
        <w:adjustRightInd w:val="0"/>
        <w:ind w:left="708"/>
        <w:jc w:val="both"/>
        <w:rPr>
          <w:rFonts w:ascii="Arial" w:hAnsi="Arial" w:cs="Arial"/>
          <w:i/>
          <w:color w:val="000000" w:themeColor="text1"/>
          <w:sz w:val="22"/>
          <w:szCs w:val="22"/>
          <w:lang w:val="es-ES"/>
        </w:rPr>
      </w:pPr>
      <w:r w:rsidRPr="006D41C5">
        <w:rPr>
          <w:rFonts w:ascii="Arial" w:hAnsi="Arial" w:cs="Arial"/>
          <w:i/>
          <w:color w:val="000000" w:themeColor="text1"/>
          <w:sz w:val="22"/>
          <w:szCs w:val="22"/>
          <w:lang w:val="es-ES"/>
        </w:rPr>
        <w:t>2. A efectos del apartado anterior, la falta de contestación a la solicitud de información a que se refiere el artículo 83.3 de la Ley, o el reconocimiento por parte del licitador de que su proposición adolece de error, o inconsistencia que la hagan inviable, tendrán la consideración de retirada injustificada de la proposición.</w:t>
      </w:r>
    </w:p>
    <w:p w:rsidR="00FA4EBD" w:rsidRPr="006D41C5" w:rsidRDefault="00FA4EBD" w:rsidP="000879B5">
      <w:pPr>
        <w:autoSpaceDE w:val="0"/>
        <w:autoSpaceDN w:val="0"/>
        <w:adjustRightInd w:val="0"/>
        <w:jc w:val="both"/>
        <w:rPr>
          <w:rFonts w:ascii="Arial" w:hAnsi="Arial" w:cs="Arial"/>
          <w:color w:val="000000" w:themeColor="text1"/>
          <w:sz w:val="22"/>
          <w:szCs w:val="22"/>
          <w:lang w:val="es-ES"/>
        </w:rPr>
      </w:pPr>
    </w:p>
    <w:p w:rsidR="00FA4EBD" w:rsidRPr="006D41C5" w:rsidRDefault="00FA4EBD" w:rsidP="00FA4EBD">
      <w:pPr>
        <w:autoSpaceDE w:val="0"/>
        <w:autoSpaceDN w:val="0"/>
        <w:adjustRightInd w:val="0"/>
        <w:jc w:val="both"/>
        <w:rPr>
          <w:rFonts w:ascii="Arial" w:hAnsi="Arial" w:cs="Arial"/>
          <w:color w:val="000000" w:themeColor="text1"/>
          <w:sz w:val="22"/>
          <w:szCs w:val="22"/>
          <w:lang w:val="es-ES"/>
        </w:rPr>
      </w:pPr>
      <w:r w:rsidRPr="006D41C5">
        <w:rPr>
          <w:rFonts w:ascii="Arial" w:hAnsi="Arial" w:cs="Arial"/>
          <w:color w:val="000000" w:themeColor="text1"/>
          <w:sz w:val="22"/>
          <w:szCs w:val="22"/>
          <w:lang w:val="es-ES"/>
        </w:rPr>
        <w:t xml:space="preserve">Asimismo, </w:t>
      </w:r>
      <w:r w:rsidRPr="00291455">
        <w:rPr>
          <w:rFonts w:ascii="Arial" w:hAnsi="Arial" w:cs="Arial"/>
          <w:b/>
          <w:color w:val="000000" w:themeColor="text1"/>
          <w:sz w:val="22"/>
          <w:szCs w:val="22"/>
          <w:lang w:val="es-ES"/>
        </w:rPr>
        <w:t>puede suponer la declaración de prohibición para contratar</w:t>
      </w:r>
      <w:r w:rsidRPr="006D41C5">
        <w:rPr>
          <w:rFonts w:ascii="Arial" w:hAnsi="Arial" w:cs="Arial"/>
          <w:color w:val="000000" w:themeColor="text1"/>
          <w:sz w:val="22"/>
          <w:szCs w:val="22"/>
          <w:lang w:val="es-ES"/>
        </w:rPr>
        <w:t xml:space="preserve">, conforme el artículo 60.2 del TRLCSP que enumera una serie de circunstancias que impedirán a los empresarios contratar con las Administraciones Públicas, entre las que se encuentra, en el apartado </w:t>
      </w:r>
      <w:r w:rsidR="00291455">
        <w:rPr>
          <w:rFonts w:ascii="Arial" w:hAnsi="Arial" w:cs="Arial"/>
          <w:color w:val="000000" w:themeColor="text1"/>
          <w:sz w:val="22"/>
          <w:szCs w:val="22"/>
          <w:lang w:val="es-ES"/>
        </w:rPr>
        <w:t>a)</w:t>
      </w:r>
      <w:r w:rsidRPr="006D41C5">
        <w:rPr>
          <w:rFonts w:ascii="Arial" w:hAnsi="Arial" w:cs="Arial"/>
          <w:color w:val="000000" w:themeColor="text1"/>
          <w:sz w:val="22"/>
          <w:szCs w:val="22"/>
          <w:lang w:val="es-ES"/>
        </w:rPr>
        <w:t>:</w:t>
      </w:r>
    </w:p>
    <w:p w:rsidR="00FA4EBD" w:rsidRPr="006D41C5" w:rsidRDefault="00FA4EBD" w:rsidP="00FA4EBD">
      <w:pPr>
        <w:autoSpaceDE w:val="0"/>
        <w:autoSpaceDN w:val="0"/>
        <w:adjustRightInd w:val="0"/>
        <w:jc w:val="both"/>
        <w:rPr>
          <w:rFonts w:ascii="Arial" w:hAnsi="Arial" w:cs="Arial"/>
          <w:color w:val="000000" w:themeColor="text1"/>
          <w:sz w:val="22"/>
          <w:szCs w:val="22"/>
          <w:lang w:val="es-ES"/>
        </w:rPr>
      </w:pPr>
    </w:p>
    <w:p w:rsidR="00FA4EBD" w:rsidRPr="006D41C5" w:rsidRDefault="00FA4EBD" w:rsidP="00FA4EBD">
      <w:pPr>
        <w:autoSpaceDE w:val="0"/>
        <w:autoSpaceDN w:val="0"/>
        <w:adjustRightInd w:val="0"/>
        <w:ind w:left="708"/>
        <w:jc w:val="both"/>
        <w:rPr>
          <w:rFonts w:ascii="Arial" w:hAnsi="Arial" w:cs="Arial"/>
          <w:i/>
          <w:color w:val="000000" w:themeColor="text1"/>
          <w:sz w:val="22"/>
          <w:szCs w:val="22"/>
          <w:lang w:val="es-ES"/>
        </w:rPr>
      </w:pPr>
      <w:r w:rsidRPr="006D41C5">
        <w:rPr>
          <w:rFonts w:ascii="Arial" w:hAnsi="Arial" w:cs="Arial"/>
          <w:i/>
          <w:color w:val="000000" w:themeColor="text1"/>
          <w:sz w:val="22"/>
          <w:szCs w:val="22"/>
          <w:lang w:val="es-ES"/>
        </w:rPr>
        <w:t>“</w:t>
      </w:r>
      <w:r w:rsidRPr="00291455">
        <w:rPr>
          <w:rFonts w:ascii="Arial" w:hAnsi="Arial" w:cs="Arial"/>
          <w:b/>
          <w:i/>
          <w:color w:val="000000" w:themeColor="text1"/>
          <w:sz w:val="22"/>
          <w:szCs w:val="22"/>
          <w:lang w:val="es-ES"/>
        </w:rPr>
        <w:t>Haber retirado indebidamente su proposición</w:t>
      </w:r>
      <w:r w:rsidRPr="006D41C5">
        <w:rPr>
          <w:rFonts w:ascii="Arial" w:hAnsi="Arial" w:cs="Arial"/>
          <w:i/>
          <w:color w:val="000000" w:themeColor="text1"/>
          <w:sz w:val="22"/>
          <w:szCs w:val="22"/>
          <w:lang w:val="es-ES"/>
        </w:rPr>
        <w:t xml:space="preserve"> o candidatura en un procedimiento de adjudicación, o haber imposibilitado la adjudicación del </w:t>
      </w:r>
      <w:r w:rsidRPr="006D41C5">
        <w:rPr>
          <w:rFonts w:ascii="Arial" w:hAnsi="Arial" w:cs="Arial"/>
          <w:i/>
          <w:color w:val="000000" w:themeColor="text1"/>
          <w:sz w:val="22"/>
          <w:szCs w:val="22"/>
          <w:lang w:val="es-ES"/>
        </w:rPr>
        <w:lastRenderedPageBreak/>
        <w:t>contrato a su favor por no cumplimentar lo establecido en el artículo 151.2 (documentación justificativa de hallarse al corriente en el cumplimiento de sus obligaciones tributarias y con la Seguridad Social, de disponer efectivamente de los medios que se hubiese comprometido a dedicar o adscribir a la ejecución del contrato y de haber constituido la garantía definitiva) dentro del plazo señalado mediando dolo, culpa o negligencia.”</w:t>
      </w:r>
    </w:p>
    <w:p w:rsidR="00FA4EBD" w:rsidRPr="006D41C5" w:rsidRDefault="00FA4EBD" w:rsidP="00FA4EBD">
      <w:pPr>
        <w:autoSpaceDE w:val="0"/>
        <w:autoSpaceDN w:val="0"/>
        <w:adjustRightInd w:val="0"/>
        <w:jc w:val="both"/>
        <w:rPr>
          <w:rFonts w:ascii="Arial" w:hAnsi="Arial" w:cs="Arial"/>
          <w:i/>
          <w:color w:val="000000" w:themeColor="text1"/>
          <w:sz w:val="22"/>
          <w:szCs w:val="22"/>
          <w:lang w:val="es-ES"/>
        </w:rPr>
      </w:pPr>
    </w:p>
    <w:p w:rsidR="00994B34" w:rsidRDefault="00994B34" w:rsidP="00FA4EBD">
      <w:pPr>
        <w:autoSpaceDE w:val="0"/>
        <w:autoSpaceDN w:val="0"/>
        <w:adjustRightInd w:val="0"/>
        <w:jc w:val="both"/>
        <w:rPr>
          <w:rFonts w:ascii="Arial" w:hAnsi="Arial" w:cs="Arial"/>
          <w:color w:val="000000" w:themeColor="text1"/>
          <w:sz w:val="22"/>
          <w:szCs w:val="22"/>
          <w:lang w:val="es-ES"/>
        </w:rPr>
      </w:pPr>
      <w:r>
        <w:rPr>
          <w:rFonts w:ascii="Arial" w:hAnsi="Arial" w:cs="Arial"/>
          <w:color w:val="000000" w:themeColor="text1"/>
          <w:sz w:val="22"/>
          <w:szCs w:val="22"/>
          <w:lang w:val="es-ES"/>
        </w:rPr>
        <w:t>Es una prohibición para contratar en la nueva Ley 9/2017 (artículo 71):</w:t>
      </w:r>
    </w:p>
    <w:p w:rsidR="00994B34" w:rsidRPr="00994B34" w:rsidRDefault="00994B34" w:rsidP="00994B34">
      <w:pPr>
        <w:spacing w:before="100" w:beforeAutospacing="1" w:after="100" w:afterAutospacing="1"/>
        <w:ind w:left="708"/>
        <w:jc w:val="both"/>
        <w:rPr>
          <w:rFonts w:ascii="Times New Roman" w:eastAsia="Times New Roman" w:hAnsi="Times New Roman" w:cs="Times New Roman"/>
          <w:i/>
          <w:lang w:val="es-ES" w:eastAsia="es-ES_tradnl"/>
        </w:rPr>
      </w:pPr>
      <w:r w:rsidRPr="00994B34">
        <w:rPr>
          <w:rFonts w:ascii="ArialUnicodeMS" w:eastAsia="Times New Roman" w:hAnsi="ArialUnicodeMS" w:cs="Times New Roman"/>
          <w:i/>
          <w:sz w:val="20"/>
          <w:szCs w:val="20"/>
          <w:lang w:val="es-ES" w:eastAsia="es-ES_tradnl"/>
        </w:rPr>
        <w:t xml:space="preserve">“2. </w:t>
      </w:r>
      <w:proofErr w:type="spellStart"/>
      <w:r w:rsidRPr="00994B34">
        <w:rPr>
          <w:rFonts w:ascii="ArialUnicodeMS" w:eastAsia="Times New Roman" w:hAnsi="ArialUnicodeMS" w:cs="Times New Roman"/>
          <w:i/>
          <w:sz w:val="20"/>
          <w:szCs w:val="20"/>
          <w:lang w:val="es-ES" w:eastAsia="es-ES_tradnl"/>
        </w:rPr>
        <w:t>Además</w:t>
      </w:r>
      <w:proofErr w:type="spellEnd"/>
      <w:r w:rsidRPr="00994B34">
        <w:rPr>
          <w:rFonts w:ascii="ArialUnicodeMS" w:eastAsia="Times New Roman" w:hAnsi="ArialUnicodeMS" w:cs="Times New Roman"/>
          <w:i/>
          <w:sz w:val="20"/>
          <w:szCs w:val="20"/>
          <w:lang w:val="es-ES" w:eastAsia="es-ES_tradnl"/>
        </w:rPr>
        <w:t xml:space="preserve"> de las previstas en el apartado anterior, son circunstancias que </w:t>
      </w:r>
      <w:proofErr w:type="spellStart"/>
      <w:r w:rsidRPr="00994B34">
        <w:rPr>
          <w:rFonts w:ascii="ArialUnicodeMS" w:eastAsia="Times New Roman" w:hAnsi="ArialUnicodeMS" w:cs="Times New Roman"/>
          <w:i/>
          <w:sz w:val="20"/>
          <w:szCs w:val="20"/>
          <w:lang w:val="es-ES" w:eastAsia="es-ES_tradnl"/>
        </w:rPr>
        <w:t>impedirán</w:t>
      </w:r>
      <w:proofErr w:type="spellEnd"/>
      <w:r w:rsidRPr="00994B34">
        <w:rPr>
          <w:rFonts w:ascii="ArialUnicodeMS" w:eastAsia="Times New Roman" w:hAnsi="ArialUnicodeMS" w:cs="Times New Roman"/>
          <w:i/>
          <w:sz w:val="20"/>
          <w:szCs w:val="20"/>
          <w:lang w:val="es-ES" w:eastAsia="es-ES_tradnl"/>
        </w:rPr>
        <w:t xml:space="preserve"> a los empresarios contratar con las entidades comprendidas en el </w:t>
      </w:r>
      <w:proofErr w:type="spellStart"/>
      <w:r w:rsidRPr="00994B34">
        <w:rPr>
          <w:rFonts w:ascii="ArialUnicodeMS" w:eastAsia="Times New Roman" w:hAnsi="ArialUnicodeMS" w:cs="Times New Roman"/>
          <w:i/>
          <w:sz w:val="20"/>
          <w:szCs w:val="20"/>
          <w:lang w:val="es-ES" w:eastAsia="es-ES_tradnl"/>
        </w:rPr>
        <w:t>artículo</w:t>
      </w:r>
      <w:proofErr w:type="spellEnd"/>
      <w:r w:rsidRPr="00994B34">
        <w:rPr>
          <w:rFonts w:ascii="ArialUnicodeMS" w:eastAsia="Times New Roman" w:hAnsi="ArialUnicodeMS" w:cs="Times New Roman"/>
          <w:i/>
          <w:sz w:val="20"/>
          <w:szCs w:val="20"/>
          <w:lang w:val="es-ES" w:eastAsia="es-ES_tradnl"/>
        </w:rPr>
        <w:t xml:space="preserve"> 3 de la presente Ley, en las condiciones establecidas en el </w:t>
      </w:r>
      <w:proofErr w:type="spellStart"/>
      <w:r w:rsidRPr="00994B34">
        <w:rPr>
          <w:rFonts w:ascii="ArialUnicodeMS" w:eastAsia="Times New Roman" w:hAnsi="ArialUnicodeMS" w:cs="Times New Roman"/>
          <w:i/>
          <w:sz w:val="20"/>
          <w:szCs w:val="20"/>
          <w:lang w:val="es-ES" w:eastAsia="es-ES_tradnl"/>
        </w:rPr>
        <w:t>artículo</w:t>
      </w:r>
      <w:proofErr w:type="spellEnd"/>
      <w:r w:rsidRPr="00994B34">
        <w:rPr>
          <w:rFonts w:ascii="ArialUnicodeMS" w:eastAsia="Times New Roman" w:hAnsi="ArialUnicodeMS" w:cs="Times New Roman"/>
          <w:i/>
          <w:sz w:val="20"/>
          <w:szCs w:val="20"/>
          <w:lang w:val="es-ES" w:eastAsia="es-ES_tradnl"/>
        </w:rPr>
        <w:t xml:space="preserve"> 73 las siguientes: </w:t>
      </w:r>
    </w:p>
    <w:p w:rsidR="00994B34" w:rsidRPr="00994B34" w:rsidRDefault="00994B34" w:rsidP="00994B34">
      <w:pPr>
        <w:spacing w:before="100" w:beforeAutospacing="1" w:after="100" w:afterAutospacing="1"/>
        <w:ind w:left="708"/>
        <w:jc w:val="both"/>
        <w:rPr>
          <w:rFonts w:ascii="Times New Roman" w:eastAsia="Times New Roman" w:hAnsi="Times New Roman" w:cs="Times New Roman"/>
          <w:b/>
          <w:i/>
          <w:lang w:val="es-ES" w:eastAsia="es-ES_tradnl"/>
        </w:rPr>
      </w:pPr>
      <w:r w:rsidRPr="00994B34">
        <w:rPr>
          <w:rFonts w:ascii="ArialUnicodeMS" w:eastAsia="Times New Roman" w:hAnsi="ArialUnicodeMS" w:cs="Times New Roman"/>
          <w:i/>
          <w:sz w:val="20"/>
          <w:szCs w:val="20"/>
          <w:lang w:val="es-ES" w:eastAsia="es-ES_tradnl"/>
        </w:rPr>
        <w:t xml:space="preserve">a) </w:t>
      </w:r>
      <w:r w:rsidRPr="00994B34">
        <w:rPr>
          <w:rFonts w:ascii="ArialUnicodeMS" w:eastAsia="Times New Roman" w:hAnsi="ArialUnicodeMS" w:cs="Times New Roman"/>
          <w:b/>
          <w:i/>
          <w:sz w:val="20"/>
          <w:szCs w:val="20"/>
          <w:lang w:val="es-ES" w:eastAsia="es-ES_tradnl"/>
        </w:rPr>
        <w:t xml:space="preserve">Haber retirado indebidamente su </w:t>
      </w:r>
      <w:proofErr w:type="spellStart"/>
      <w:r w:rsidRPr="00994B34">
        <w:rPr>
          <w:rFonts w:ascii="ArialUnicodeMS" w:eastAsia="Times New Roman" w:hAnsi="ArialUnicodeMS" w:cs="Times New Roman"/>
          <w:b/>
          <w:i/>
          <w:sz w:val="20"/>
          <w:szCs w:val="20"/>
          <w:lang w:val="es-ES" w:eastAsia="es-ES_tradnl"/>
        </w:rPr>
        <w:t>proposición</w:t>
      </w:r>
      <w:proofErr w:type="spellEnd"/>
      <w:r w:rsidRPr="00994B34">
        <w:rPr>
          <w:rFonts w:ascii="ArialUnicodeMS" w:eastAsia="Times New Roman" w:hAnsi="ArialUnicodeMS" w:cs="Times New Roman"/>
          <w:b/>
          <w:i/>
          <w:sz w:val="20"/>
          <w:szCs w:val="20"/>
          <w:lang w:val="es-ES" w:eastAsia="es-ES_tradnl"/>
        </w:rPr>
        <w:t xml:space="preserve"> o candidatura en un procedimiento de </w:t>
      </w:r>
      <w:proofErr w:type="spellStart"/>
      <w:r w:rsidRPr="00994B34">
        <w:rPr>
          <w:rFonts w:ascii="ArialUnicodeMS" w:eastAsia="Times New Roman" w:hAnsi="ArialUnicodeMS" w:cs="Times New Roman"/>
          <w:b/>
          <w:i/>
          <w:sz w:val="20"/>
          <w:szCs w:val="20"/>
          <w:lang w:val="es-ES" w:eastAsia="es-ES_tradnl"/>
        </w:rPr>
        <w:t>adjudicación</w:t>
      </w:r>
      <w:proofErr w:type="spellEnd"/>
      <w:r w:rsidRPr="00994B34">
        <w:rPr>
          <w:rFonts w:ascii="ArialUnicodeMS" w:eastAsia="Times New Roman" w:hAnsi="ArialUnicodeMS" w:cs="Times New Roman"/>
          <w:b/>
          <w:i/>
          <w:sz w:val="20"/>
          <w:szCs w:val="20"/>
          <w:lang w:val="es-ES" w:eastAsia="es-ES_tradnl"/>
        </w:rPr>
        <w:t xml:space="preserve">, o haber imposibilitado la </w:t>
      </w:r>
      <w:proofErr w:type="spellStart"/>
      <w:r w:rsidRPr="00994B34">
        <w:rPr>
          <w:rFonts w:ascii="ArialUnicodeMS" w:eastAsia="Times New Roman" w:hAnsi="ArialUnicodeMS" w:cs="Times New Roman"/>
          <w:b/>
          <w:i/>
          <w:sz w:val="20"/>
          <w:szCs w:val="20"/>
          <w:lang w:val="es-ES" w:eastAsia="es-ES_tradnl"/>
        </w:rPr>
        <w:t>adjudicación</w:t>
      </w:r>
      <w:proofErr w:type="spellEnd"/>
      <w:r w:rsidRPr="00994B34">
        <w:rPr>
          <w:rFonts w:ascii="ArialUnicodeMS" w:eastAsia="Times New Roman" w:hAnsi="ArialUnicodeMS" w:cs="Times New Roman"/>
          <w:b/>
          <w:i/>
          <w:sz w:val="20"/>
          <w:szCs w:val="20"/>
          <w:lang w:val="es-ES" w:eastAsia="es-ES_tradnl"/>
        </w:rPr>
        <w:t xml:space="preserve"> del contrato a su favor por no cumplimentar lo establecido en el apartado 2 del </w:t>
      </w:r>
      <w:proofErr w:type="spellStart"/>
      <w:r w:rsidRPr="00994B34">
        <w:rPr>
          <w:rFonts w:ascii="ArialUnicodeMS" w:eastAsia="Times New Roman" w:hAnsi="ArialUnicodeMS" w:cs="Times New Roman"/>
          <w:b/>
          <w:i/>
          <w:sz w:val="20"/>
          <w:szCs w:val="20"/>
          <w:lang w:val="es-ES" w:eastAsia="es-ES_tradnl"/>
        </w:rPr>
        <w:t>artículo</w:t>
      </w:r>
      <w:proofErr w:type="spellEnd"/>
      <w:r w:rsidRPr="00994B34">
        <w:rPr>
          <w:rFonts w:ascii="ArialUnicodeMS" w:eastAsia="Times New Roman" w:hAnsi="ArialUnicodeMS" w:cs="Times New Roman"/>
          <w:b/>
          <w:i/>
          <w:sz w:val="20"/>
          <w:szCs w:val="20"/>
          <w:lang w:val="es-ES" w:eastAsia="es-ES_tradnl"/>
        </w:rPr>
        <w:t xml:space="preserve"> 150 dentro del plazo </w:t>
      </w:r>
      <w:proofErr w:type="spellStart"/>
      <w:r w:rsidRPr="00994B34">
        <w:rPr>
          <w:rFonts w:ascii="ArialUnicodeMS" w:eastAsia="Times New Roman" w:hAnsi="ArialUnicodeMS" w:cs="Times New Roman"/>
          <w:b/>
          <w:i/>
          <w:sz w:val="20"/>
          <w:szCs w:val="20"/>
          <w:lang w:val="es-ES" w:eastAsia="es-ES_tradnl"/>
        </w:rPr>
        <w:t>señalado</w:t>
      </w:r>
      <w:proofErr w:type="spellEnd"/>
      <w:r w:rsidRPr="00994B34">
        <w:rPr>
          <w:rFonts w:ascii="ArialUnicodeMS" w:eastAsia="Times New Roman" w:hAnsi="ArialUnicodeMS" w:cs="Times New Roman"/>
          <w:b/>
          <w:i/>
          <w:sz w:val="20"/>
          <w:szCs w:val="20"/>
          <w:lang w:val="es-ES" w:eastAsia="es-ES_tradnl"/>
        </w:rPr>
        <w:t xml:space="preserve"> mediando dolo, culpa o negligencia. </w:t>
      </w:r>
    </w:p>
    <w:p w:rsidR="00994B34" w:rsidRPr="00994B34" w:rsidRDefault="00994B34" w:rsidP="00994B34">
      <w:pPr>
        <w:spacing w:before="100" w:beforeAutospacing="1" w:after="100" w:afterAutospacing="1"/>
        <w:ind w:left="708"/>
        <w:jc w:val="both"/>
        <w:rPr>
          <w:rFonts w:ascii="Times New Roman" w:eastAsia="Times New Roman" w:hAnsi="Times New Roman" w:cs="Times New Roman"/>
          <w:i/>
          <w:lang w:val="es-ES" w:eastAsia="es-ES_tradnl"/>
        </w:rPr>
      </w:pPr>
      <w:r w:rsidRPr="00994B34">
        <w:rPr>
          <w:rFonts w:ascii="ArialUnicodeMS" w:eastAsia="Times New Roman" w:hAnsi="ArialUnicodeMS" w:cs="Times New Roman"/>
          <w:i/>
          <w:sz w:val="20"/>
          <w:szCs w:val="20"/>
          <w:lang w:val="es-ES" w:eastAsia="es-ES_tradnl"/>
        </w:rPr>
        <w:t xml:space="preserve">b) Haber dejado de formalizar el contrato, que ha sido adjudicado a su favor, en los plazos previstos en el </w:t>
      </w:r>
      <w:proofErr w:type="spellStart"/>
      <w:r w:rsidRPr="00994B34">
        <w:rPr>
          <w:rFonts w:ascii="ArialUnicodeMS" w:eastAsia="Times New Roman" w:hAnsi="ArialUnicodeMS" w:cs="Times New Roman"/>
          <w:i/>
          <w:sz w:val="20"/>
          <w:szCs w:val="20"/>
          <w:lang w:val="es-ES" w:eastAsia="es-ES_tradnl"/>
        </w:rPr>
        <w:t>artículo</w:t>
      </w:r>
      <w:proofErr w:type="spellEnd"/>
      <w:r w:rsidRPr="00994B34">
        <w:rPr>
          <w:rFonts w:ascii="ArialUnicodeMS" w:eastAsia="Times New Roman" w:hAnsi="ArialUnicodeMS" w:cs="Times New Roman"/>
          <w:i/>
          <w:sz w:val="20"/>
          <w:szCs w:val="20"/>
          <w:lang w:val="es-ES" w:eastAsia="es-ES_tradnl"/>
        </w:rPr>
        <w:t xml:space="preserve"> 153 por causa imputable al adjudicatario. </w:t>
      </w:r>
    </w:p>
    <w:p w:rsidR="00994B34" w:rsidRPr="00994B34" w:rsidRDefault="00994B34" w:rsidP="00994B34">
      <w:pPr>
        <w:spacing w:before="100" w:beforeAutospacing="1" w:after="100" w:afterAutospacing="1"/>
        <w:ind w:left="708"/>
        <w:jc w:val="both"/>
        <w:rPr>
          <w:rFonts w:ascii="Times New Roman" w:eastAsia="Times New Roman" w:hAnsi="Times New Roman" w:cs="Times New Roman"/>
          <w:i/>
          <w:lang w:val="es-ES" w:eastAsia="es-ES_tradnl"/>
        </w:rPr>
      </w:pPr>
      <w:r w:rsidRPr="00994B34">
        <w:rPr>
          <w:rFonts w:ascii="ArialUnicodeMS" w:eastAsia="Times New Roman" w:hAnsi="ArialUnicodeMS" w:cs="Times New Roman"/>
          <w:i/>
          <w:sz w:val="20"/>
          <w:szCs w:val="20"/>
          <w:lang w:val="es-ES" w:eastAsia="es-ES_tradnl"/>
        </w:rPr>
        <w:t xml:space="preserve">c) Haber incumplido las </w:t>
      </w:r>
      <w:proofErr w:type="spellStart"/>
      <w:r w:rsidRPr="00994B34">
        <w:rPr>
          <w:rFonts w:ascii="ArialUnicodeMS" w:eastAsia="Times New Roman" w:hAnsi="ArialUnicodeMS" w:cs="Times New Roman"/>
          <w:i/>
          <w:sz w:val="20"/>
          <w:szCs w:val="20"/>
          <w:lang w:val="es-ES" w:eastAsia="es-ES_tradnl"/>
        </w:rPr>
        <w:t>cláusulas</w:t>
      </w:r>
      <w:proofErr w:type="spellEnd"/>
      <w:r w:rsidRPr="00994B34">
        <w:rPr>
          <w:rFonts w:ascii="ArialUnicodeMS" w:eastAsia="Times New Roman" w:hAnsi="ArialUnicodeMS" w:cs="Times New Roman"/>
          <w:i/>
          <w:sz w:val="20"/>
          <w:szCs w:val="20"/>
          <w:lang w:val="es-ES" w:eastAsia="es-ES_tradnl"/>
        </w:rPr>
        <w:t xml:space="preserve"> que son esenciales en el contrato, incluyendo las condiciones especiales de </w:t>
      </w:r>
      <w:proofErr w:type="spellStart"/>
      <w:r w:rsidRPr="00994B34">
        <w:rPr>
          <w:rFonts w:ascii="ArialUnicodeMS" w:eastAsia="Times New Roman" w:hAnsi="ArialUnicodeMS" w:cs="Times New Roman"/>
          <w:i/>
          <w:sz w:val="20"/>
          <w:szCs w:val="20"/>
          <w:lang w:val="es-ES" w:eastAsia="es-ES_tradnl"/>
        </w:rPr>
        <w:t>ejecución</w:t>
      </w:r>
      <w:proofErr w:type="spellEnd"/>
      <w:r w:rsidRPr="00994B34">
        <w:rPr>
          <w:rFonts w:ascii="ArialUnicodeMS" w:eastAsia="Times New Roman" w:hAnsi="ArialUnicodeMS" w:cs="Times New Roman"/>
          <w:i/>
          <w:sz w:val="20"/>
          <w:szCs w:val="20"/>
          <w:lang w:val="es-ES" w:eastAsia="es-ES_tradnl"/>
        </w:rPr>
        <w:t xml:space="preserve"> establecidas de acuerdo con lo </w:t>
      </w:r>
      <w:proofErr w:type="spellStart"/>
      <w:r w:rsidRPr="00994B34">
        <w:rPr>
          <w:rFonts w:ascii="ArialUnicodeMS" w:eastAsia="Times New Roman" w:hAnsi="ArialUnicodeMS" w:cs="Times New Roman"/>
          <w:i/>
          <w:sz w:val="20"/>
          <w:szCs w:val="20"/>
          <w:lang w:val="es-ES" w:eastAsia="es-ES_tradnl"/>
        </w:rPr>
        <w:t>señalado</w:t>
      </w:r>
      <w:proofErr w:type="spellEnd"/>
      <w:r w:rsidRPr="00994B34">
        <w:rPr>
          <w:rFonts w:ascii="ArialUnicodeMS" w:eastAsia="Times New Roman" w:hAnsi="ArialUnicodeMS" w:cs="Times New Roman"/>
          <w:i/>
          <w:sz w:val="20"/>
          <w:szCs w:val="20"/>
          <w:lang w:val="es-ES" w:eastAsia="es-ES_tradnl"/>
        </w:rPr>
        <w:t xml:space="preserve"> en el </w:t>
      </w:r>
      <w:proofErr w:type="spellStart"/>
      <w:r w:rsidRPr="00994B34">
        <w:rPr>
          <w:rFonts w:ascii="ArialUnicodeMS" w:eastAsia="Times New Roman" w:hAnsi="ArialUnicodeMS" w:cs="Times New Roman"/>
          <w:i/>
          <w:sz w:val="20"/>
          <w:szCs w:val="20"/>
          <w:lang w:val="es-ES" w:eastAsia="es-ES_tradnl"/>
        </w:rPr>
        <w:t>artículo</w:t>
      </w:r>
      <w:proofErr w:type="spellEnd"/>
      <w:r w:rsidRPr="00994B34">
        <w:rPr>
          <w:rFonts w:ascii="ArialUnicodeMS" w:eastAsia="Times New Roman" w:hAnsi="ArialUnicodeMS" w:cs="Times New Roman"/>
          <w:i/>
          <w:sz w:val="20"/>
          <w:szCs w:val="20"/>
          <w:lang w:val="es-ES" w:eastAsia="es-ES_tradnl"/>
        </w:rPr>
        <w:t xml:space="preserve"> 202, cuando dicho incumplimiento hubiese sido definido en los pliegos o en el contrato como </w:t>
      </w:r>
      <w:proofErr w:type="spellStart"/>
      <w:r w:rsidRPr="00994B34">
        <w:rPr>
          <w:rFonts w:ascii="ArialUnicodeMS" w:eastAsia="Times New Roman" w:hAnsi="ArialUnicodeMS" w:cs="Times New Roman"/>
          <w:i/>
          <w:sz w:val="20"/>
          <w:szCs w:val="20"/>
          <w:lang w:val="es-ES" w:eastAsia="es-ES_tradnl"/>
        </w:rPr>
        <w:t>infracción</w:t>
      </w:r>
      <w:proofErr w:type="spellEnd"/>
      <w:r w:rsidRPr="00994B34">
        <w:rPr>
          <w:rFonts w:ascii="ArialUnicodeMS" w:eastAsia="Times New Roman" w:hAnsi="ArialUnicodeMS" w:cs="Times New Roman"/>
          <w:i/>
          <w:sz w:val="20"/>
          <w:szCs w:val="20"/>
          <w:lang w:val="es-ES" w:eastAsia="es-ES_tradnl"/>
        </w:rPr>
        <w:t xml:space="preserve"> grave, concurriendo dolo, culpa o negligencia en el empresario, y siempre que haya dado lugar a la </w:t>
      </w:r>
      <w:proofErr w:type="spellStart"/>
      <w:r w:rsidRPr="00994B34">
        <w:rPr>
          <w:rFonts w:ascii="ArialUnicodeMS" w:eastAsia="Times New Roman" w:hAnsi="ArialUnicodeMS" w:cs="Times New Roman"/>
          <w:i/>
          <w:sz w:val="20"/>
          <w:szCs w:val="20"/>
          <w:lang w:val="es-ES" w:eastAsia="es-ES_tradnl"/>
        </w:rPr>
        <w:t>imposición</w:t>
      </w:r>
      <w:proofErr w:type="spellEnd"/>
      <w:r w:rsidRPr="00994B34">
        <w:rPr>
          <w:rFonts w:ascii="ArialUnicodeMS" w:eastAsia="Times New Roman" w:hAnsi="ArialUnicodeMS" w:cs="Times New Roman"/>
          <w:i/>
          <w:sz w:val="20"/>
          <w:szCs w:val="20"/>
          <w:lang w:val="es-ES" w:eastAsia="es-ES_tradnl"/>
        </w:rPr>
        <w:t xml:space="preserve"> de penalidades o a la </w:t>
      </w:r>
      <w:proofErr w:type="spellStart"/>
      <w:r w:rsidRPr="00994B34">
        <w:rPr>
          <w:rFonts w:ascii="ArialUnicodeMS" w:eastAsia="Times New Roman" w:hAnsi="ArialUnicodeMS" w:cs="Times New Roman"/>
          <w:i/>
          <w:sz w:val="20"/>
          <w:szCs w:val="20"/>
          <w:lang w:val="es-ES" w:eastAsia="es-ES_tradnl"/>
        </w:rPr>
        <w:t>indemnización</w:t>
      </w:r>
      <w:proofErr w:type="spellEnd"/>
      <w:r w:rsidRPr="00994B34">
        <w:rPr>
          <w:rFonts w:ascii="ArialUnicodeMS" w:eastAsia="Times New Roman" w:hAnsi="ArialUnicodeMS" w:cs="Times New Roman"/>
          <w:i/>
          <w:sz w:val="20"/>
          <w:szCs w:val="20"/>
          <w:lang w:val="es-ES" w:eastAsia="es-ES_tradnl"/>
        </w:rPr>
        <w:t xml:space="preserve"> de </w:t>
      </w:r>
      <w:proofErr w:type="spellStart"/>
      <w:r w:rsidRPr="00994B34">
        <w:rPr>
          <w:rFonts w:ascii="ArialUnicodeMS" w:eastAsia="Times New Roman" w:hAnsi="ArialUnicodeMS" w:cs="Times New Roman"/>
          <w:i/>
          <w:sz w:val="20"/>
          <w:szCs w:val="20"/>
          <w:lang w:val="es-ES" w:eastAsia="es-ES_tradnl"/>
        </w:rPr>
        <w:t>daños</w:t>
      </w:r>
      <w:proofErr w:type="spellEnd"/>
      <w:r w:rsidRPr="00994B34">
        <w:rPr>
          <w:rFonts w:ascii="ArialUnicodeMS" w:eastAsia="Times New Roman" w:hAnsi="ArialUnicodeMS" w:cs="Times New Roman"/>
          <w:i/>
          <w:sz w:val="20"/>
          <w:szCs w:val="20"/>
          <w:lang w:val="es-ES" w:eastAsia="es-ES_tradnl"/>
        </w:rPr>
        <w:t xml:space="preserve"> y perjuicios. </w:t>
      </w:r>
    </w:p>
    <w:p w:rsidR="00994B34" w:rsidRPr="00994B34" w:rsidRDefault="00994B34" w:rsidP="00994B34">
      <w:pPr>
        <w:spacing w:before="100" w:beforeAutospacing="1" w:after="100" w:afterAutospacing="1"/>
        <w:ind w:left="708"/>
        <w:jc w:val="both"/>
        <w:rPr>
          <w:rFonts w:ascii="Times New Roman" w:eastAsia="Times New Roman" w:hAnsi="Times New Roman" w:cs="Times New Roman"/>
          <w:i/>
          <w:lang w:val="es-ES" w:eastAsia="es-ES_tradnl"/>
        </w:rPr>
      </w:pPr>
      <w:r w:rsidRPr="00994B34">
        <w:rPr>
          <w:rFonts w:ascii="ArialUnicodeMS" w:eastAsia="Times New Roman" w:hAnsi="ArialUnicodeMS" w:cs="Times New Roman"/>
          <w:i/>
          <w:sz w:val="20"/>
          <w:szCs w:val="20"/>
          <w:lang w:val="es-ES" w:eastAsia="es-ES_tradnl"/>
        </w:rPr>
        <w:t xml:space="preserve">d) Haber dado lugar, por causa de la que hubiesen sido declarados culpables, a la </w:t>
      </w:r>
      <w:proofErr w:type="spellStart"/>
      <w:r w:rsidRPr="00994B34">
        <w:rPr>
          <w:rFonts w:ascii="ArialUnicodeMS" w:eastAsia="Times New Roman" w:hAnsi="ArialUnicodeMS" w:cs="Times New Roman"/>
          <w:i/>
          <w:sz w:val="20"/>
          <w:szCs w:val="20"/>
          <w:lang w:val="es-ES" w:eastAsia="es-ES_tradnl"/>
        </w:rPr>
        <w:t>resolución</w:t>
      </w:r>
      <w:proofErr w:type="spellEnd"/>
      <w:r w:rsidRPr="00994B34">
        <w:rPr>
          <w:rFonts w:ascii="ArialUnicodeMS" w:eastAsia="Times New Roman" w:hAnsi="ArialUnicodeMS" w:cs="Times New Roman"/>
          <w:i/>
          <w:sz w:val="20"/>
          <w:szCs w:val="20"/>
          <w:lang w:val="es-ES" w:eastAsia="es-ES_tradnl"/>
        </w:rPr>
        <w:t xml:space="preserve"> firme de cualquier contrato celebrado con una entidad de las comprendidas en el </w:t>
      </w:r>
      <w:proofErr w:type="spellStart"/>
      <w:r w:rsidRPr="00994B34">
        <w:rPr>
          <w:rFonts w:ascii="ArialUnicodeMS" w:eastAsia="Times New Roman" w:hAnsi="ArialUnicodeMS" w:cs="Times New Roman"/>
          <w:i/>
          <w:sz w:val="20"/>
          <w:szCs w:val="20"/>
          <w:lang w:val="es-ES" w:eastAsia="es-ES_tradnl"/>
        </w:rPr>
        <w:t>artículo</w:t>
      </w:r>
      <w:proofErr w:type="spellEnd"/>
      <w:r w:rsidRPr="00994B34">
        <w:rPr>
          <w:rFonts w:ascii="ArialUnicodeMS" w:eastAsia="Times New Roman" w:hAnsi="ArialUnicodeMS" w:cs="Times New Roman"/>
          <w:i/>
          <w:sz w:val="20"/>
          <w:szCs w:val="20"/>
          <w:lang w:val="es-ES" w:eastAsia="es-ES_tradnl"/>
        </w:rPr>
        <w:t xml:space="preserve"> 3 de la presente Ley. </w:t>
      </w:r>
    </w:p>
    <w:p w:rsidR="00994B34" w:rsidRPr="00994B34" w:rsidRDefault="00994B34" w:rsidP="00994B34">
      <w:pPr>
        <w:spacing w:before="100" w:beforeAutospacing="1" w:after="100" w:afterAutospacing="1"/>
        <w:ind w:left="708"/>
        <w:jc w:val="both"/>
        <w:rPr>
          <w:rFonts w:ascii="Times New Roman" w:eastAsia="Times New Roman" w:hAnsi="Times New Roman" w:cs="Times New Roman"/>
          <w:b/>
          <w:i/>
          <w:lang w:val="es-ES" w:eastAsia="es-ES_tradnl"/>
        </w:rPr>
      </w:pPr>
      <w:r w:rsidRPr="00994B34">
        <w:rPr>
          <w:rFonts w:ascii="ArialUnicodeMS" w:eastAsia="Times New Roman" w:hAnsi="ArialUnicodeMS" w:cs="Times New Roman"/>
          <w:b/>
          <w:i/>
          <w:sz w:val="20"/>
          <w:szCs w:val="20"/>
          <w:lang w:val="es-ES" w:eastAsia="es-ES_tradnl"/>
        </w:rPr>
        <w:t xml:space="preserve">3. Las prohibiciones de contratar </w:t>
      </w:r>
      <w:proofErr w:type="spellStart"/>
      <w:r w:rsidRPr="00994B34">
        <w:rPr>
          <w:rFonts w:ascii="ArialUnicodeMS" w:eastAsia="Times New Roman" w:hAnsi="ArialUnicodeMS" w:cs="Times New Roman"/>
          <w:b/>
          <w:i/>
          <w:sz w:val="20"/>
          <w:szCs w:val="20"/>
          <w:lang w:val="es-ES" w:eastAsia="es-ES_tradnl"/>
        </w:rPr>
        <w:t>afectarán</w:t>
      </w:r>
      <w:proofErr w:type="spellEnd"/>
      <w:r w:rsidRPr="00994B34">
        <w:rPr>
          <w:rFonts w:ascii="ArialUnicodeMS" w:eastAsia="Times New Roman" w:hAnsi="ArialUnicodeMS" w:cs="Times New Roman"/>
          <w:b/>
          <w:i/>
          <w:sz w:val="20"/>
          <w:szCs w:val="20"/>
          <w:lang w:val="es-ES" w:eastAsia="es-ES_tradnl"/>
        </w:rPr>
        <w:t xml:space="preserve"> </w:t>
      </w:r>
      <w:proofErr w:type="spellStart"/>
      <w:r w:rsidRPr="00994B34">
        <w:rPr>
          <w:rFonts w:ascii="ArialUnicodeMS" w:eastAsia="Times New Roman" w:hAnsi="ArialUnicodeMS" w:cs="Times New Roman"/>
          <w:b/>
          <w:i/>
          <w:sz w:val="20"/>
          <w:szCs w:val="20"/>
          <w:lang w:val="es-ES" w:eastAsia="es-ES_tradnl"/>
        </w:rPr>
        <w:t>también</w:t>
      </w:r>
      <w:proofErr w:type="spellEnd"/>
      <w:r w:rsidRPr="00994B34">
        <w:rPr>
          <w:rFonts w:ascii="ArialUnicodeMS" w:eastAsia="Times New Roman" w:hAnsi="ArialUnicodeMS" w:cs="Times New Roman"/>
          <w:b/>
          <w:i/>
          <w:sz w:val="20"/>
          <w:szCs w:val="20"/>
          <w:lang w:val="es-ES" w:eastAsia="es-ES_tradnl"/>
        </w:rPr>
        <w:t xml:space="preserve"> a aquellas empresas de las que, por </w:t>
      </w:r>
      <w:proofErr w:type="spellStart"/>
      <w:r w:rsidRPr="00994B34">
        <w:rPr>
          <w:rFonts w:ascii="ArialUnicodeMS" w:eastAsia="Times New Roman" w:hAnsi="ArialUnicodeMS" w:cs="Times New Roman"/>
          <w:b/>
          <w:i/>
          <w:sz w:val="20"/>
          <w:szCs w:val="20"/>
          <w:lang w:val="es-ES" w:eastAsia="es-ES_tradnl"/>
        </w:rPr>
        <w:t>razón</w:t>
      </w:r>
      <w:proofErr w:type="spellEnd"/>
      <w:r w:rsidRPr="00994B34">
        <w:rPr>
          <w:rFonts w:ascii="ArialUnicodeMS" w:eastAsia="Times New Roman" w:hAnsi="ArialUnicodeMS" w:cs="Times New Roman"/>
          <w:b/>
          <w:i/>
          <w:sz w:val="20"/>
          <w:szCs w:val="20"/>
          <w:lang w:val="es-ES" w:eastAsia="es-ES_tradnl"/>
        </w:rPr>
        <w:t xml:space="preserve"> de las personas que las rigen o de otras circunstancias, pueda presumirse que son </w:t>
      </w:r>
      <w:proofErr w:type="spellStart"/>
      <w:r w:rsidRPr="00994B34">
        <w:rPr>
          <w:rFonts w:ascii="ArialUnicodeMS" w:eastAsia="Times New Roman" w:hAnsi="ArialUnicodeMS" w:cs="Times New Roman"/>
          <w:b/>
          <w:i/>
          <w:sz w:val="20"/>
          <w:szCs w:val="20"/>
          <w:lang w:val="es-ES" w:eastAsia="es-ES_tradnl"/>
        </w:rPr>
        <w:t>continuación</w:t>
      </w:r>
      <w:proofErr w:type="spellEnd"/>
      <w:r w:rsidRPr="00994B34">
        <w:rPr>
          <w:rFonts w:ascii="ArialUnicodeMS" w:eastAsia="Times New Roman" w:hAnsi="ArialUnicodeMS" w:cs="Times New Roman"/>
          <w:b/>
          <w:i/>
          <w:sz w:val="20"/>
          <w:szCs w:val="20"/>
          <w:lang w:val="es-ES" w:eastAsia="es-ES_tradnl"/>
        </w:rPr>
        <w:t xml:space="preserve"> o que derivan, por </w:t>
      </w:r>
      <w:proofErr w:type="spellStart"/>
      <w:r w:rsidRPr="00994B34">
        <w:rPr>
          <w:rFonts w:ascii="ArialUnicodeMS" w:eastAsia="Times New Roman" w:hAnsi="ArialUnicodeMS" w:cs="Times New Roman"/>
          <w:b/>
          <w:i/>
          <w:sz w:val="20"/>
          <w:szCs w:val="20"/>
          <w:lang w:val="es-ES" w:eastAsia="es-ES_tradnl"/>
        </w:rPr>
        <w:t>transformación</w:t>
      </w:r>
      <w:proofErr w:type="spellEnd"/>
      <w:r w:rsidRPr="00994B34">
        <w:rPr>
          <w:rFonts w:ascii="ArialUnicodeMS" w:eastAsia="Times New Roman" w:hAnsi="ArialUnicodeMS" w:cs="Times New Roman"/>
          <w:b/>
          <w:i/>
          <w:sz w:val="20"/>
          <w:szCs w:val="20"/>
          <w:lang w:val="es-ES" w:eastAsia="es-ES_tradnl"/>
        </w:rPr>
        <w:t xml:space="preserve">, </w:t>
      </w:r>
      <w:proofErr w:type="spellStart"/>
      <w:r w:rsidRPr="00994B34">
        <w:rPr>
          <w:rFonts w:ascii="ArialUnicodeMS" w:eastAsia="Times New Roman" w:hAnsi="ArialUnicodeMS" w:cs="Times New Roman"/>
          <w:b/>
          <w:i/>
          <w:sz w:val="20"/>
          <w:szCs w:val="20"/>
          <w:lang w:val="es-ES" w:eastAsia="es-ES_tradnl"/>
        </w:rPr>
        <w:t>fusión</w:t>
      </w:r>
      <w:proofErr w:type="spellEnd"/>
      <w:r w:rsidRPr="00994B34">
        <w:rPr>
          <w:rFonts w:ascii="ArialUnicodeMS" w:eastAsia="Times New Roman" w:hAnsi="ArialUnicodeMS" w:cs="Times New Roman"/>
          <w:b/>
          <w:i/>
          <w:sz w:val="20"/>
          <w:szCs w:val="20"/>
          <w:lang w:val="es-ES" w:eastAsia="es-ES_tradnl"/>
        </w:rPr>
        <w:t xml:space="preserve"> o </w:t>
      </w:r>
      <w:proofErr w:type="spellStart"/>
      <w:r w:rsidRPr="00994B34">
        <w:rPr>
          <w:rFonts w:ascii="ArialUnicodeMS" w:eastAsia="Times New Roman" w:hAnsi="ArialUnicodeMS" w:cs="Times New Roman"/>
          <w:b/>
          <w:i/>
          <w:sz w:val="20"/>
          <w:szCs w:val="20"/>
          <w:lang w:val="es-ES" w:eastAsia="es-ES_tradnl"/>
        </w:rPr>
        <w:t>sucesión</w:t>
      </w:r>
      <w:proofErr w:type="spellEnd"/>
      <w:r w:rsidRPr="00994B34">
        <w:rPr>
          <w:rFonts w:ascii="ArialUnicodeMS" w:eastAsia="Times New Roman" w:hAnsi="ArialUnicodeMS" w:cs="Times New Roman"/>
          <w:b/>
          <w:i/>
          <w:sz w:val="20"/>
          <w:szCs w:val="20"/>
          <w:lang w:val="es-ES" w:eastAsia="es-ES_tradnl"/>
        </w:rPr>
        <w:t>, de otras empresas en las que hubiesen concurrido aquellas.”</w:t>
      </w:r>
    </w:p>
    <w:p w:rsidR="00FA4EBD" w:rsidRPr="00291455" w:rsidRDefault="00291455" w:rsidP="00FA4EBD">
      <w:pPr>
        <w:autoSpaceDE w:val="0"/>
        <w:autoSpaceDN w:val="0"/>
        <w:adjustRightInd w:val="0"/>
        <w:jc w:val="both"/>
        <w:rPr>
          <w:rFonts w:ascii="Arial" w:hAnsi="Arial" w:cs="Arial"/>
          <w:color w:val="000000" w:themeColor="text1"/>
          <w:sz w:val="22"/>
          <w:szCs w:val="22"/>
          <w:lang w:val="es-ES"/>
        </w:rPr>
      </w:pPr>
      <w:r w:rsidRPr="00291455">
        <w:rPr>
          <w:rFonts w:ascii="Arial" w:hAnsi="Arial" w:cs="Arial"/>
          <w:color w:val="000000" w:themeColor="text1"/>
          <w:sz w:val="22"/>
          <w:szCs w:val="22"/>
          <w:lang w:val="es-ES"/>
        </w:rPr>
        <w:t>Por último, conforme l</w:t>
      </w:r>
      <w:r w:rsidR="00FA4EBD" w:rsidRPr="00291455">
        <w:rPr>
          <w:rFonts w:ascii="Arial" w:hAnsi="Arial" w:cs="Arial"/>
          <w:color w:val="000000" w:themeColor="text1"/>
          <w:sz w:val="22"/>
          <w:szCs w:val="22"/>
          <w:lang w:val="es-ES"/>
        </w:rPr>
        <w:t>a cláusula 1 del PCAP recoge, asimismo</w:t>
      </w:r>
      <w:r w:rsidRPr="00291455">
        <w:rPr>
          <w:rFonts w:ascii="Arial" w:hAnsi="Arial" w:cs="Arial"/>
          <w:color w:val="000000" w:themeColor="text1"/>
          <w:sz w:val="22"/>
          <w:szCs w:val="22"/>
          <w:lang w:val="es-ES"/>
        </w:rPr>
        <w:t xml:space="preserve">, si la retirada se debe a una práctica colusoria o </w:t>
      </w:r>
      <w:r>
        <w:rPr>
          <w:rFonts w:ascii="Arial" w:hAnsi="Arial" w:cs="Arial"/>
          <w:color w:val="000000" w:themeColor="text1"/>
          <w:sz w:val="22"/>
          <w:szCs w:val="22"/>
          <w:lang w:val="es-ES"/>
        </w:rPr>
        <w:t xml:space="preserve">con infracción de la normativa de </w:t>
      </w:r>
      <w:r w:rsidRPr="00291455">
        <w:rPr>
          <w:rFonts w:ascii="Arial" w:hAnsi="Arial" w:cs="Arial"/>
          <w:color w:val="000000" w:themeColor="text1"/>
          <w:sz w:val="22"/>
          <w:szCs w:val="22"/>
          <w:lang w:val="es-ES"/>
        </w:rPr>
        <w:t>competencia</w:t>
      </w:r>
      <w:r>
        <w:rPr>
          <w:rFonts w:ascii="Arial" w:hAnsi="Arial" w:cs="Arial"/>
          <w:color w:val="000000" w:themeColor="text1"/>
          <w:sz w:val="22"/>
          <w:szCs w:val="22"/>
          <w:lang w:val="es-ES"/>
        </w:rPr>
        <w:t xml:space="preserve"> se notificará a la CNMC, con potestades sancionadoras en la materia</w:t>
      </w:r>
      <w:r w:rsidR="00FA4EBD" w:rsidRPr="00291455">
        <w:rPr>
          <w:rFonts w:ascii="Arial" w:hAnsi="Arial" w:cs="Arial"/>
          <w:color w:val="000000" w:themeColor="text1"/>
          <w:sz w:val="22"/>
          <w:szCs w:val="22"/>
          <w:lang w:val="es-ES"/>
        </w:rPr>
        <w:t>:</w:t>
      </w:r>
    </w:p>
    <w:p w:rsidR="00FA4EBD" w:rsidRPr="006D41C5" w:rsidRDefault="00FA4EBD" w:rsidP="00FA4EBD">
      <w:pPr>
        <w:autoSpaceDE w:val="0"/>
        <w:autoSpaceDN w:val="0"/>
        <w:adjustRightInd w:val="0"/>
        <w:jc w:val="both"/>
        <w:rPr>
          <w:rFonts w:ascii="Arial" w:hAnsi="Arial" w:cs="Arial"/>
          <w:i/>
          <w:color w:val="000000" w:themeColor="text1"/>
          <w:sz w:val="22"/>
          <w:szCs w:val="22"/>
          <w:lang w:val="es-ES"/>
        </w:rPr>
      </w:pPr>
    </w:p>
    <w:p w:rsidR="00FA4EBD" w:rsidRPr="006D41C5" w:rsidRDefault="00291455" w:rsidP="00FA4EBD">
      <w:pPr>
        <w:widowControl w:val="0"/>
        <w:autoSpaceDE w:val="0"/>
        <w:autoSpaceDN w:val="0"/>
        <w:adjustRightInd w:val="0"/>
        <w:ind w:left="708"/>
        <w:jc w:val="both"/>
        <w:rPr>
          <w:rFonts w:ascii="Arial" w:hAnsi="Arial" w:cs="Arial"/>
          <w:i/>
          <w:color w:val="000000" w:themeColor="text1"/>
          <w:sz w:val="22"/>
          <w:szCs w:val="22"/>
          <w:lang w:val="es-ES"/>
        </w:rPr>
      </w:pPr>
      <w:r>
        <w:rPr>
          <w:rFonts w:ascii="Arial" w:hAnsi="Arial" w:cs="Arial"/>
          <w:i/>
          <w:color w:val="000000" w:themeColor="text1"/>
          <w:sz w:val="22"/>
          <w:szCs w:val="22"/>
          <w:lang w:val="es-ES"/>
        </w:rPr>
        <w:t>“</w:t>
      </w:r>
      <w:r w:rsidR="00FA4EBD" w:rsidRPr="006D41C5">
        <w:rPr>
          <w:rFonts w:ascii="Arial" w:hAnsi="Arial" w:cs="Arial"/>
          <w:i/>
          <w:color w:val="000000" w:themeColor="text1"/>
          <w:sz w:val="22"/>
          <w:szCs w:val="22"/>
          <w:lang w:val="es-ES"/>
        </w:rPr>
        <w:t xml:space="preserve">El órgano de contratación notificará a la </w:t>
      </w:r>
      <w:r w:rsidR="00FA4EBD" w:rsidRPr="006D41C5">
        <w:rPr>
          <w:rFonts w:ascii="Arial" w:hAnsi="Arial" w:cs="Arial"/>
          <w:b/>
          <w:i/>
          <w:color w:val="000000" w:themeColor="text1"/>
          <w:sz w:val="22"/>
          <w:szCs w:val="22"/>
          <w:lang w:val="es-ES"/>
        </w:rPr>
        <w:t xml:space="preserve">Comisión Nacional de los Mercados y la Competencia </w:t>
      </w:r>
      <w:r w:rsidR="00FA4EBD" w:rsidRPr="006D41C5">
        <w:rPr>
          <w:rFonts w:ascii="Arial" w:hAnsi="Arial" w:cs="Arial"/>
          <w:i/>
          <w:color w:val="000000" w:themeColor="text1"/>
          <w:sz w:val="22"/>
          <w:szCs w:val="22"/>
          <w:lang w:val="es-ES"/>
        </w:rPr>
        <w:t>cualesquiera hechos de los que tengan conocimiento en el ejercicio de sus funciones que puedan constituir infracción a la legislación de defensa de la competencia. En particular, comunicarán cualquier indicio de acuerdo, decisión o recomendación colectiva, o práctica concertada o conscientemente paralela entre los licitadores, que tenga por objeto, produzca o pueda producir el efecto de impedir, restringir o falsear la competencia en el proceso de contratación.</w:t>
      </w:r>
      <w:r>
        <w:rPr>
          <w:rFonts w:ascii="Arial" w:hAnsi="Arial" w:cs="Arial"/>
          <w:i/>
          <w:color w:val="000000" w:themeColor="text1"/>
          <w:sz w:val="22"/>
          <w:szCs w:val="22"/>
          <w:lang w:val="es-ES"/>
        </w:rPr>
        <w:t>”</w:t>
      </w:r>
    </w:p>
    <w:p w:rsidR="00FA4EBD" w:rsidRPr="006D41C5" w:rsidRDefault="00FA4EBD" w:rsidP="00FA4EBD">
      <w:pPr>
        <w:autoSpaceDE w:val="0"/>
        <w:autoSpaceDN w:val="0"/>
        <w:adjustRightInd w:val="0"/>
        <w:jc w:val="both"/>
        <w:rPr>
          <w:rFonts w:ascii="Arial" w:eastAsia="Times New Roman" w:hAnsi="Arial" w:cs="Arial"/>
          <w:b/>
          <w:i/>
          <w:color w:val="000000" w:themeColor="text1"/>
          <w:sz w:val="22"/>
          <w:szCs w:val="22"/>
          <w:u w:val="single"/>
          <w:lang w:val="es-ES" w:eastAsia="es-ES"/>
        </w:rPr>
      </w:pPr>
    </w:p>
    <w:p w:rsidR="00FA4EBD" w:rsidRPr="00CC4A69" w:rsidRDefault="00FA4EBD" w:rsidP="00CC4A69">
      <w:pPr>
        <w:pStyle w:val="Prrafodelista"/>
        <w:numPr>
          <w:ilvl w:val="0"/>
          <w:numId w:val="14"/>
        </w:numPr>
        <w:autoSpaceDE w:val="0"/>
        <w:autoSpaceDN w:val="0"/>
        <w:adjustRightInd w:val="0"/>
        <w:jc w:val="both"/>
        <w:outlineLvl w:val="0"/>
        <w:rPr>
          <w:rFonts w:ascii="Arial" w:hAnsi="Arial" w:cs="Arial"/>
          <w:b/>
          <w:color w:val="000000" w:themeColor="text1"/>
          <w:sz w:val="22"/>
          <w:szCs w:val="22"/>
          <w:lang w:val="es-ES"/>
        </w:rPr>
      </w:pPr>
      <w:r w:rsidRPr="00CC4A69">
        <w:rPr>
          <w:rFonts w:ascii="Arial" w:hAnsi="Arial" w:cs="Arial"/>
          <w:b/>
          <w:color w:val="000000" w:themeColor="text1"/>
          <w:sz w:val="22"/>
          <w:szCs w:val="22"/>
          <w:lang w:val="es-ES"/>
        </w:rPr>
        <w:t>En relación a la segunda parte de la consulta:</w:t>
      </w:r>
    </w:p>
    <w:p w:rsidR="00FA4EBD" w:rsidRPr="006D41C5" w:rsidRDefault="00FA4EBD" w:rsidP="00FA4EBD">
      <w:pPr>
        <w:autoSpaceDE w:val="0"/>
        <w:autoSpaceDN w:val="0"/>
        <w:adjustRightInd w:val="0"/>
        <w:jc w:val="both"/>
        <w:rPr>
          <w:rFonts w:ascii="Arial" w:hAnsi="Arial" w:cs="Arial"/>
          <w:b/>
          <w:color w:val="000000" w:themeColor="text1"/>
          <w:sz w:val="22"/>
          <w:szCs w:val="22"/>
          <w:lang w:val="es-ES"/>
        </w:rPr>
      </w:pPr>
    </w:p>
    <w:p w:rsidR="00FA4EBD" w:rsidRPr="006D41C5" w:rsidRDefault="00FA4EBD" w:rsidP="00FA4EBD">
      <w:pPr>
        <w:autoSpaceDE w:val="0"/>
        <w:autoSpaceDN w:val="0"/>
        <w:adjustRightInd w:val="0"/>
        <w:jc w:val="both"/>
        <w:rPr>
          <w:rFonts w:ascii="Arial" w:eastAsia="Times New Roman" w:hAnsi="Arial" w:cs="Arial"/>
          <w:i/>
          <w:color w:val="000000" w:themeColor="text1"/>
          <w:sz w:val="22"/>
          <w:szCs w:val="22"/>
          <w:u w:val="single"/>
          <w:lang w:val="es-ES" w:eastAsia="es-ES"/>
        </w:rPr>
      </w:pPr>
      <w:r w:rsidRPr="006D41C5">
        <w:rPr>
          <w:rFonts w:ascii="Arial" w:hAnsi="Arial" w:cs="Arial"/>
          <w:color w:val="000000" w:themeColor="text1"/>
          <w:sz w:val="22"/>
          <w:szCs w:val="22"/>
          <w:lang w:val="es-ES"/>
        </w:rPr>
        <w:t xml:space="preserve">El tipo de elementos autorizados </w:t>
      </w:r>
      <w:r w:rsidRPr="006D41C5">
        <w:rPr>
          <w:rFonts w:ascii="Arial" w:hAnsi="Arial" w:cs="Arial"/>
          <w:b/>
          <w:color w:val="000000" w:themeColor="text1"/>
          <w:sz w:val="22"/>
          <w:szCs w:val="22"/>
          <w:lang w:val="es-ES"/>
        </w:rPr>
        <w:t>no pueden ser cambiados</w:t>
      </w:r>
      <w:r w:rsidRPr="006D41C5">
        <w:rPr>
          <w:rFonts w:ascii="Arial" w:hAnsi="Arial" w:cs="Arial"/>
          <w:color w:val="000000" w:themeColor="text1"/>
          <w:sz w:val="22"/>
          <w:szCs w:val="22"/>
          <w:lang w:val="es-ES"/>
        </w:rPr>
        <w:t>, ya que forman parte del proyecto de costas</w:t>
      </w:r>
      <w:r w:rsidR="00D06BFD">
        <w:rPr>
          <w:rFonts w:ascii="Arial" w:hAnsi="Arial" w:cs="Arial"/>
          <w:color w:val="000000" w:themeColor="text1"/>
          <w:sz w:val="22"/>
          <w:szCs w:val="22"/>
          <w:lang w:val="es-ES"/>
        </w:rPr>
        <w:t>.</w:t>
      </w:r>
      <w:bookmarkStart w:id="0" w:name="_GoBack"/>
      <w:bookmarkEnd w:id="0"/>
    </w:p>
    <w:sectPr w:rsidR="00FA4EBD" w:rsidRPr="006D41C5" w:rsidSect="009D0D20">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UnicodeMS">
    <w:altName w:val="Arial"/>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A36CB"/>
    <w:multiLevelType w:val="multilevel"/>
    <w:tmpl w:val="9E244D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5C10F9"/>
    <w:multiLevelType w:val="multilevel"/>
    <w:tmpl w:val="B2D661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902DF1"/>
    <w:multiLevelType w:val="hybridMultilevel"/>
    <w:tmpl w:val="401E23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B4C2D77"/>
    <w:multiLevelType w:val="multilevel"/>
    <w:tmpl w:val="9E244D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991A3B"/>
    <w:multiLevelType w:val="singleLevel"/>
    <w:tmpl w:val="15108668"/>
    <w:lvl w:ilvl="0">
      <w:start w:val="1"/>
      <w:numFmt w:val="lowerLetter"/>
      <w:lvlText w:val="%1)"/>
      <w:lvlJc w:val="left"/>
      <w:pPr>
        <w:tabs>
          <w:tab w:val="num" w:pos="360"/>
        </w:tabs>
        <w:ind w:left="360" w:hanging="360"/>
      </w:pPr>
      <w:rPr>
        <w:b w:val="0"/>
        <w:i w:val="0"/>
      </w:rPr>
    </w:lvl>
  </w:abstractNum>
  <w:abstractNum w:abstractNumId="5" w15:restartNumberingAfterBreak="0">
    <w:nsid w:val="35D43F2E"/>
    <w:multiLevelType w:val="multilevel"/>
    <w:tmpl w:val="B2D661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6D739A"/>
    <w:multiLevelType w:val="hybridMultilevel"/>
    <w:tmpl w:val="0F5A43CE"/>
    <w:lvl w:ilvl="0" w:tplc="67686672">
      <w:start w:val="1"/>
      <w:numFmt w:val="upperRoman"/>
      <w:lvlText w:val="%1."/>
      <w:lvlJc w:val="right"/>
      <w:pPr>
        <w:ind w:left="720" w:hanging="360"/>
      </w:pPr>
      <w:rPr>
        <w:b/>
      </w:rPr>
    </w:lvl>
    <w:lvl w:ilvl="1" w:tplc="0C50B096">
      <w:start w:val="1"/>
      <w:numFmt w:val="upperRoman"/>
      <w:lvlText w:val="%2."/>
      <w:lvlJc w:val="left"/>
      <w:pPr>
        <w:ind w:left="1800" w:hanging="720"/>
      </w:pPr>
      <w:rPr>
        <w:rFonts w:hint="default"/>
      </w:rPr>
    </w:lvl>
    <w:lvl w:ilvl="2" w:tplc="6136D62E">
      <w:start w:val="1"/>
      <w:numFmt w:val="lowerLetter"/>
      <w:lvlText w:val="%3)"/>
      <w:lvlJc w:val="left"/>
      <w:pPr>
        <w:ind w:left="2340" w:hanging="360"/>
      </w:pPr>
      <w:rPr>
        <w:rFonts w:hint="default"/>
      </w:r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5C056D4C"/>
    <w:multiLevelType w:val="multilevel"/>
    <w:tmpl w:val="B7469EBA"/>
    <w:lvl w:ilvl="0">
      <w:start w:val="1"/>
      <w:numFmt w:val="decimal"/>
      <w:pStyle w:val="Ttulo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10C6192"/>
    <w:multiLevelType w:val="hybridMultilevel"/>
    <w:tmpl w:val="D9F2A4EC"/>
    <w:lvl w:ilvl="0" w:tplc="0C0A000F">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43A4205"/>
    <w:multiLevelType w:val="multilevel"/>
    <w:tmpl w:val="F1447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3137A5"/>
    <w:multiLevelType w:val="hybridMultilevel"/>
    <w:tmpl w:val="3314013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6DE06D21"/>
    <w:multiLevelType w:val="hybridMultilevel"/>
    <w:tmpl w:val="9EE2E27A"/>
    <w:lvl w:ilvl="0" w:tplc="607E343A">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06225D7"/>
    <w:multiLevelType w:val="hybridMultilevel"/>
    <w:tmpl w:val="F88CD250"/>
    <w:lvl w:ilvl="0" w:tplc="82EC27C4">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CED5A7C"/>
    <w:multiLevelType w:val="hybridMultilevel"/>
    <w:tmpl w:val="449CA9C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7"/>
  </w:num>
  <w:num w:numId="3">
    <w:abstractNumId w:val="11"/>
  </w:num>
  <w:num w:numId="4">
    <w:abstractNumId w:val="12"/>
  </w:num>
  <w:num w:numId="5">
    <w:abstractNumId w:val="9"/>
  </w:num>
  <w:num w:numId="6">
    <w:abstractNumId w:val="0"/>
  </w:num>
  <w:num w:numId="7">
    <w:abstractNumId w:val="1"/>
  </w:num>
  <w:num w:numId="8">
    <w:abstractNumId w:val="2"/>
  </w:num>
  <w:num w:numId="9">
    <w:abstractNumId w:val="8"/>
  </w:num>
  <w:num w:numId="10">
    <w:abstractNumId w:val="13"/>
  </w:num>
  <w:num w:numId="11">
    <w:abstractNumId w:val="3"/>
  </w:num>
  <w:num w:numId="12">
    <w:abstractNumId w:val="5"/>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6E"/>
    <w:rsid w:val="00012F54"/>
    <w:rsid w:val="000879B5"/>
    <w:rsid w:val="001B429A"/>
    <w:rsid w:val="002705E7"/>
    <w:rsid w:val="00291455"/>
    <w:rsid w:val="002A3701"/>
    <w:rsid w:val="005C446E"/>
    <w:rsid w:val="00610398"/>
    <w:rsid w:val="006D41C5"/>
    <w:rsid w:val="006F71B4"/>
    <w:rsid w:val="00750491"/>
    <w:rsid w:val="00760184"/>
    <w:rsid w:val="007D1929"/>
    <w:rsid w:val="00843408"/>
    <w:rsid w:val="00994B34"/>
    <w:rsid w:val="009D0D20"/>
    <w:rsid w:val="00C5394E"/>
    <w:rsid w:val="00CC4A69"/>
    <w:rsid w:val="00CD51A5"/>
    <w:rsid w:val="00CE65D2"/>
    <w:rsid w:val="00D06BFD"/>
    <w:rsid w:val="00D86106"/>
    <w:rsid w:val="00DF4D35"/>
    <w:rsid w:val="00E61B4C"/>
    <w:rsid w:val="00E816A5"/>
    <w:rsid w:val="00EB2768"/>
    <w:rsid w:val="00FA4EB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45107"/>
  <w14:defaultImageDpi w14:val="32767"/>
  <w15:chartTrackingRefBased/>
  <w15:docId w15:val="{C97E6C0E-4975-374B-911E-32C5B026A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ca-ES"/>
    </w:rPr>
  </w:style>
  <w:style w:type="paragraph" w:styleId="Ttulo3">
    <w:name w:val="heading 3"/>
    <w:basedOn w:val="Normal"/>
    <w:next w:val="Normal"/>
    <w:link w:val="Ttulo3Car"/>
    <w:uiPriority w:val="9"/>
    <w:unhideWhenUsed/>
    <w:qFormat/>
    <w:rsid w:val="00CD51A5"/>
    <w:pPr>
      <w:keepNext/>
      <w:keepLines/>
      <w:spacing w:before="40"/>
      <w:outlineLvl w:val="2"/>
    </w:pPr>
    <w:rPr>
      <w:rFonts w:asciiTheme="majorHAnsi" w:eastAsiaTheme="majorEastAsia" w:hAnsiTheme="majorHAnsi" w:cstheme="majorBidi"/>
      <w:color w:val="1F3763" w:themeColor="accent1" w:themeShade="7F"/>
      <w:lang w:val="es-ES_tradnl" w:eastAsia="es-ES_tradnl"/>
    </w:rPr>
  </w:style>
  <w:style w:type="paragraph" w:styleId="Ttulo9">
    <w:name w:val="heading 9"/>
    <w:aliases w:val="I. Título 9"/>
    <w:basedOn w:val="Normal"/>
    <w:link w:val="Ttulo9Car"/>
    <w:autoRedefine/>
    <w:uiPriority w:val="1"/>
    <w:qFormat/>
    <w:rsid w:val="00610398"/>
    <w:pPr>
      <w:widowControl w:val="0"/>
      <w:numPr>
        <w:numId w:val="2"/>
      </w:numPr>
      <w:autoSpaceDE w:val="0"/>
      <w:autoSpaceDN w:val="0"/>
      <w:ind w:hanging="360"/>
      <w:jc w:val="center"/>
      <w:outlineLvl w:val="8"/>
    </w:pPr>
    <w:rPr>
      <w:rFonts w:ascii="Helvetica" w:eastAsia="Times New Roman" w:hAnsi="Helvetica"/>
      <w:b/>
      <w:bCs/>
      <w:sz w:val="21"/>
      <w:szCs w:val="21"/>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aliases w:val="I. Título 9 Car"/>
    <w:link w:val="Ttulo9"/>
    <w:uiPriority w:val="1"/>
    <w:rsid w:val="00610398"/>
    <w:rPr>
      <w:rFonts w:ascii="Helvetica" w:eastAsia="Times New Roman" w:hAnsi="Helvetica"/>
      <w:b/>
      <w:bCs/>
      <w:sz w:val="21"/>
      <w:szCs w:val="21"/>
      <w:lang w:val="en-US"/>
    </w:rPr>
  </w:style>
  <w:style w:type="paragraph" w:styleId="NormalWeb">
    <w:name w:val="Normal (Web)"/>
    <w:basedOn w:val="Normal"/>
    <w:uiPriority w:val="99"/>
    <w:semiHidden/>
    <w:unhideWhenUsed/>
    <w:rsid w:val="005C446E"/>
    <w:pPr>
      <w:spacing w:before="100" w:beforeAutospacing="1" w:after="100" w:afterAutospacing="1"/>
    </w:pPr>
    <w:rPr>
      <w:rFonts w:ascii="Times New Roman" w:eastAsia="Times New Roman" w:hAnsi="Times New Roman" w:cs="Times New Roman"/>
      <w:lang w:val="es-ES" w:eastAsia="es-ES"/>
    </w:rPr>
  </w:style>
  <w:style w:type="character" w:customStyle="1" w:styleId="il">
    <w:name w:val="il"/>
    <w:basedOn w:val="Fuentedeprrafopredeter"/>
    <w:rsid w:val="005C446E"/>
  </w:style>
  <w:style w:type="character" w:customStyle="1" w:styleId="apple-converted-space">
    <w:name w:val="apple-converted-space"/>
    <w:basedOn w:val="Fuentedeprrafopredeter"/>
    <w:rsid w:val="005C446E"/>
  </w:style>
  <w:style w:type="paragraph" w:styleId="Prrafodelista">
    <w:name w:val="List Paragraph"/>
    <w:basedOn w:val="Normal"/>
    <w:uiPriority w:val="34"/>
    <w:qFormat/>
    <w:rsid w:val="005C446E"/>
    <w:pPr>
      <w:ind w:left="720"/>
      <w:contextualSpacing/>
    </w:pPr>
  </w:style>
  <w:style w:type="paragraph" w:customStyle="1" w:styleId="m-2795987348309740775msolistparagraph">
    <w:name w:val="m_-2795987348309740775msolistparagraph"/>
    <w:basedOn w:val="Normal"/>
    <w:rsid w:val="00750491"/>
    <w:pPr>
      <w:spacing w:before="100" w:beforeAutospacing="1" w:after="100" w:afterAutospacing="1"/>
    </w:pPr>
    <w:rPr>
      <w:rFonts w:ascii="Times New Roman" w:eastAsia="Times New Roman" w:hAnsi="Times New Roman" w:cs="Times New Roman"/>
      <w:lang w:val="es-ES" w:eastAsia="es-ES"/>
    </w:rPr>
  </w:style>
  <w:style w:type="character" w:customStyle="1" w:styleId="Ttulo3Car">
    <w:name w:val="Título 3 Car"/>
    <w:basedOn w:val="Fuentedeprrafopredeter"/>
    <w:link w:val="Ttulo3"/>
    <w:uiPriority w:val="9"/>
    <w:rsid w:val="00CD51A5"/>
    <w:rPr>
      <w:rFonts w:asciiTheme="majorHAnsi" w:eastAsiaTheme="majorEastAsia" w:hAnsiTheme="majorHAnsi" w:cstheme="majorBidi"/>
      <w:color w:val="1F3763" w:themeColor="accent1" w:themeShade="7F"/>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6005">
      <w:bodyDiv w:val="1"/>
      <w:marLeft w:val="0"/>
      <w:marRight w:val="0"/>
      <w:marTop w:val="0"/>
      <w:marBottom w:val="0"/>
      <w:divBdr>
        <w:top w:val="none" w:sz="0" w:space="0" w:color="auto"/>
        <w:left w:val="none" w:sz="0" w:space="0" w:color="auto"/>
        <w:bottom w:val="none" w:sz="0" w:space="0" w:color="auto"/>
        <w:right w:val="none" w:sz="0" w:space="0" w:color="auto"/>
      </w:divBdr>
    </w:div>
    <w:div w:id="247613470">
      <w:bodyDiv w:val="1"/>
      <w:marLeft w:val="0"/>
      <w:marRight w:val="0"/>
      <w:marTop w:val="0"/>
      <w:marBottom w:val="0"/>
      <w:divBdr>
        <w:top w:val="none" w:sz="0" w:space="0" w:color="auto"/>
        <w:left w:val="none" w:sz="0" w:space="0" w:color="auto"/>
        <w:bottom w:val="none" w:sz="0" w:space="0" w:color="auto"/>
        <w:right w:val="none" w:sz="0" w:space="0" w:color="auto"/>
      </w:divBdr>
      <w:divsChild>
        <w:div w:id="128405627">
          <w:marLeft w:val="0"/>
          <w:marRight w:val="0"/>
          <w:marTop w:val="0"/>
          <w:marBottom w:val="0"/>
          <w:divBdr>
            <w:top w:val="none" w:sz="0" w:space="0" w:color="auto"/>
            <w:left w:val="none" w:sz="0" w:space="0" w:color="auto"/>
            <w:bottom w:val="none" w:sz="0" w:space="0" w:color="auto"/>
            <w:right w:val="none" w:sz="0" w:space="0" w:color="auto"/>
          </w:divBdr>
          <w:divsChild>
            <w:div w:id="829565892">
              <w:marLeft w:val="0"/>
              <w:marRight w:val="0"/>
              <w:marTop w:val="0"/>
              <w:marBottom w:val="0"/>
              <w:divBdr>
                <w:top w:val="none" w:sz="0" w:space="0" w:color="auto"/>
                <w:left w:val="none" w:sz="0" w:space="0" w:color="auto"/>
                <w:bottom w:val="none" w:sz="0" w:space="0" w:color="auto"/>
                <w:right w:val="none" w:sz="0" w:space="0" w:color="auto"/>
              </w:divBdr>
              <w:divsChild>
                <w:div w:id="15287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692618">
      <w:bodyDiv w:val="1"/>
      <w:marLeft w:val="0"/>
      <w:marRight w:val="0"/>
      <w:marTop w:val="0"/>
      <w:marBottom w:val="0"/>
      <w:divBdr>
        <w:top w:val="none" w:sz="0" w:space="0" w:color="auto"/>
        <w:left w:val="none" w:sz="0" w:space="0" w:color="auto"/>
        <w:bottom w:val="none" w:sz="0" w:space="0" w:color="auto"/>
        <w:right w:val="none" w:sz="0" w:space="0" w:color="auto"/>
      </w:divBdr>
    </w:div>
    <w:div w:id="477764488">
      <w:bodyDiv w:val="1"/>
      <w:marLeft w:val="0"/>
      <w:marRight w:val="0"/>
      <w:marTop w:val="0"/>
      <w:marBottom w:val="0"/>
      <w:divBdr>
        <w:top w:val="none" w:sz="0" w:space="0" w:color="auto"/>
        <w:left w:val="none" w:sz="0" w:space="0" w:color="auto"/>
        <w:bottom w:val="none" w:sz="0" w:space="0" w:color="auto"/>
        <w:right w:val="none" w:sz="0" w:space="0" w:color="auto"/>
      </w:divBdr>
    </w:div>
    <w:div w:id="562954480">
      <w:bodyDiv w:val="1"/>
      <w:marLeft w:val="0"/>
      <w:marRight w:val="0"/>
      <w:marTop w:val="0"/>
      <w:marBottom w:val="0"/>
      <w:divBdr>
        <w:top w:val="none" w:sz="0" w:space="0" w:color="auto"/>
        <w:left w:val="none" w:sz="0" w:space="0" w:color="auto"/>
        <w:bottom w:val="none" w:sz="0" w:space="0" w:color="auto"/>
        <w:right w:val="none" w:sz="0" w:space="0" w:color="auto"/>
      </w:divBdr>
    </w:div>
    <w:div w:id="622885476">
      <w:bodyDiv w:val="1"/>
      <w:marLeft w:val="0"/>
      <w:marRight w:val="0"/>
      <w:marTop w:val="0"/>
      <w:marBottom w:val="0"/>
      <w:divBdr>
        <w:top w:val="none" w:sz="0" w:space="0" w:color="auto"/>
        <w:left w:val="none" w:sz="0" w:space="0" w:color="auto"/>
        <w:bottom w:val="none" w:sz="0" w:space="0" w:color="auto"/>
        <w:right w:val="none" w:sz="0" w:space="0" w:color="auto"/>
      </w:divBdr>
    </w:div>
    <w:div w:id="1207647533">
      <w:bodyDiv w:val="1"/>
      <w:marLeft w:val="0"/>
      <w:marRight w:val="0"/>
      <w:marTop w:val="0"/>
      <w:marBottom w:val="0"/>
      <w:divBdr>
        <w:top w:val="none" w:sz="0" w:space="0" w:color="auto"/>
        <w:left w:val="none" w:sz="0" w:space="0" w:color="auto"/>
        <w:bottom w:val="none" w:sz="0" w:space="0" w:color="auto"/>
        <w:right w:val="none" w:sz="0" w:space="0" w:color="auto"/>
      </w:divBdr>
      <w:divsChild>
        <w:div w:id="531186524">
          <w:marLeft w:val="0"/>
          <w:marRight w:val="0"/>
          <w:marTop w:val="0"/>
          <w:marBottom w:val="0"/>
          <w:divBdr>
            <w:top w:val="none" w:sz="0" w:space="0" w:color="auto"/>
            <w:left w:val="none" w:sz="0" w:space="0" w:color="auto"/>
            <w:bottom w:val="none" w:sz="0" w:space="0" w:color="auto"/>
            <w:right w:val="none" w:sz="0" w:space="0" w:color="auto"/>
          </w:divBdr>
          <w:divsChild>
            <w:div w:id="866529598">
              <w:marLeft w:val="0"/>
              <w:marRight w:val="0"/>
              <w:marTop w:val="0"/>
              <w:marBottom w:val="0"/>
              <w:divBdr>
                <w:top w:val="none" w:sz="0" w:space="0" w:color="auto"/>
                <w:left w:val="none" w:sz="0" w:space="0" w:color="auto"/>
                <w:bottom w:val="none" w:sz="0" w:space="0" w:color="auto"/>
                <w:right w:val="none" w:sz="0" w:space="0" w:color="auto"/>
              </w:divBdr>
              <w:divsChild>
                <w:div w:id="53558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3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925</Words>
  <Characters>5092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enciso</dc:creator>
  <cp:keywords/>
  <dc:description/>
  <cp:lastModifiedBy>marta enciso</cp:lastModifiedBy>
  <cp:revision>11</cp:revision>
  <dcterms:created xsi:type="dcterms:W3CDTF">2018-03-07T08:27:00Z</dcterms:created>
  <dcterms:modified xsi:type="dcterms:W3CDTF">2018-03-21T10:22:00Z</dcterms:modified>
</cp:coreProperties>
</file>