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6D41C5" w:rsidRDefault="005C446E" w:rsidP="00C5394E">
      <w:pPr>
        <w:spacing w:line="324" w:lineRule="atLeast"/>
        <w:jc w:val="both"/>
        <w:rPr>
          <w:rFonts w:ascii="Arial" w:eastAsia="Times New Roman" w:hAnsi="Arial" w:cs="Arial"/>
          <w:b/>
          <w:color w:val="000000" w:themeColor="text1"/>
          <w:sz w:val="22"/>
          <w:szCs w:val="22"/>
          <w:u w:val="single"/>
          <w:lang w:val="es-ES" w:eastAsia="es-ES"/>
        </w:rPr>
      </w:pPr>
      <w:r w:rsidRPr="006D41C5">
        <w:rPr>
          <w:rFonts w:ascii="Arial" w:eastAsia="Times New Roman" w:hAnsi="Arial" w:cs="Arial"/>
          <w:b/>
          <w:color w:val="000000" w:themeColor="text1"/>
          <w:sz w:val="22"/>
          <w:szCs w:val="22"/>
          <w:u w:val="single"/>
          <w:lang w:val="es-ES" w:eastAsia="es-ES"/>
        </w:rPr>
        <w:t>CONSULTA Nº</w:t>
      </w:r>
      <w:r w:rsidR="00D634BE">
        <w:rPr>
          <w:rFonts w:ascii="Arial" w:eastAsia="Times New Roman" w:hAnsi="Arial" w:cs="Arial"/>
          <w:b/>
          <w:color w:val="000000" w:themeColor="text1"/>
          <w:sz w:val="22"/>
          <w:szCs w:val="22"/>
          <w:u w:val="single"/>
          <w:lang w:val="es-ES" w:eastAsia="es-ES"/>
        </w:rPr>
        <w:t>9</w:t>
      </w:r>
      <w:r w:rsidRPr="006D41C5">
        <w:rPr>
          <w:rFonts w:ascii="Arial" w:eastAsia="Times New Roman" w:hAnsi="Arial" w:cs="Arial"/>
          <w:b/>
          <w:color w:val="000000" w:themeColor="text1"/>
          <w:sz w:val="22"/>
          <w:szCs w:val="22"/>
          <w:u w:val="single"/>
          <w:lang w:val="es-ES" w:eastAsia="es-ES"/>
        </w:rPr>
        <w:t>: </w:t>
      </w:r>
    </w:p>
    <w:p w:rsidR="00E61B4C" w:rsidRDefault="005C446E" w:rsidP="00D634BE">
      <w:pPr>
        <w:jc w:val="both"/>
        <w:rPr>
          <w:rFonts w:ascii="Arial" w:eastAsia="Times New Roman" w:hAnsi="Arial" w:cs="Arial"/>
          <w:color w:val="000000" w:themeColor="text1"/>
          <w:sz w:val="22"/>
          <w:szCs w:val="22"/>
          <w:shd w:val="clear" w:color="auto" w:fill="FFFFFF"/>
          <w:lang w:val="es-ES" w:eastAsia="es-ES"/>
        </w:rPr>
      </w:pPr>
      <w:r w:rsidRPr="006D41C5">
        <w:rPr>
          <w:rFonts w:ascii="Arial" w:eastAsia="Times New Roman" w:hAnsi="Arial" w:cs="Arial"/>
          <w:color w:val="000000" w:themeColor="text1"/>
          <w:sz w:val="22"/>
          <w:szCs w:val="22"/>
          <w:lang w:val="es-ES" w:eastAsia="es-ES"/>
        </w:rPr>
        <w:br/>
      </w:r>
      <w:r w:rsidR="00D634BE" w:rsidRPr="00D634BE">
        <w:rPr>
          <w:rFonts w:ascii="Arial" w:eastAsia="Times New Roman" w:hAnsi="Arial" w:cs="Arial"/>
          <w:color w:val="000000" w:themeColor="text1"/>
          <w:sz w:val="22"/>
          <w:szCs w:val="22"/>
          <w:shd w:val="clear" w:color="auto" w:fill="FFFFFF"/>
          <w:lang w:val="es-ES" w:eastAsia="es-ES"/>
        </w:rPr>
        <w:t xml:space="preserve">Vista la información publicada en relación a la explotación de instalaciones temporales en playas para los próximos cuatro años, cuando se mencionada “CANON 2018 (Salida licitación)”, la pregunta es: ¿Se refiere dicho canon SOLO al 2018 o al periodo de los cuatro años? </w:t>
      </w:r>
    </w:p>
    <w:p w:rsidR="007B5251" w:rsidRPr="006D41C5" w:rsidRDefault="007B5251" w:rsidP="007B5251">
      <w:pPr>
        <w:jc w:val="both"/>
        <w:rPr>
          <w:rFonts w:ascii="Arial" w:eastAsia="Times New Roman" w:hAnsi="Arial" w:cs="Arial"/>
          <w:color w:val="000000" w:themeColor="text1"/>
          <w:sz w:val="22"/>
          <w:szCs w:val="22"/>
          <w:lang w:val="es-ES" w:eastAsia="es-ES"/>
        </w:rPr>
      </w:pPr>
    </w:p>
    <w:p w:rsidR="005C446E" w:rsidRDefault="005C446E" w:rsidP="00C5394E">
      <w:pPr>
        <w:jc w:val="both"/>
        <w:rPr>
          <w:rFonts w:ascii="Arial" w:eastAsia="Times New Roman" w:hAnsi="Arial" w:cs="Arial"/>
          <w:b/>
          <w:color w:val="000000" w:themeColor="text1"/>
          <w:sz w:val="22"/>
          <w:szCs w:val="22"/>
          <w:u w:val="single"/>
          <w:lang w:val="es-ES" w:eastAsia="es-ES"/>
        </w:rPr>
      </w:pPr>
      <w:r w:rsidRPr="006D41C5">
        <w:rPr>
          <w:rFonts w:ascii="Arial" w:eastAsia="Times New Roman" w:hAnsi="Arial" w:cs="Arial"/>
          <w:b/>
          <w:color w:val="000000" w:themeColor="text1"/>
          <w:sz w:val="22"/>
          <w:szCs w:val="22"/>
          <w:u w:val="single"/>
          <w:lang w:val="es-ES" w:eastAsia="es-ES"/>
        </w:rPr>
        <w:t>RESP</w:t>
      </w:r>
      <w:r w:rsidR="00750491" w:rsidRPr="006D41C5">
        <w:rPr>
          <w:rFonts w:ascii="Arial" w:eastAsia="Times New Roman" w:hAnsi="Arial" w:cs="Arial"/>
          <w:b/>
          <w:color w:val="000000" w:themeColor="text1"/>
          <w:sz w:val="22"/>
          <w:szCs w:val="22"/>
          <w:u w:val="single"/>
          <w:lang w:val="es-ES" w:eastAsia="es-ES"/>
        </w:rPr>
        <w:t>UE</w:t>
      </w:r>
      <w:r w:rsidRPr="006D41C5">
        <w:rPr>
          <w:rFonts w:ascii="Arial" w:eastAsia="Times New Roman" w:hAnsi="Arial" w:cs="Arial"/>
          <w:b/>
          <w:color w:val="000000" w:themeColor="text1"/>
          <w:sz w:val="22"/>
          <w:szCs w:val="22"/>
          <w:u w:val="single"/>
          <w:lang w:val="es-ES" w:eastAsia="es-ES"/>
        </w:rPr>
        <w:t>STA:</w:t>
      </w:r>
    </w:p>
    <w:p w:rsidR="00661AF7" w:rsidRDefault="00661AF7" w:rsidP="00C5394E">
      <w:pPr>
        <w:jc w:val="both"/>
        <w:rPr>
          <w:rFonts w:ascii="Arial" w:eastAsia="Times New Roman" w:hAnsi="Arial" w:cs="Arial"/>
          <w:b/>
          <w:color w:val="000000" w:themeColor="text1"/>
          <w:sz w:val="22"/>
          <w:szCs w:val="22"/>
          <w:u w:val="single"/>
          <w:lang w:val="es-ES" w:eastAsia="es-ES"/>
        </w:rPr>
      </w:pPr>
    </w:p>
    <w:p w:rsidR="00D634BE" w:rsidRPr="00590E27" w:rsidRDefault="00D634BE" w:rsidP="00C5394E">
      <w:pPr>
        <w:jc w:val="both"/>
        <w:rPr>
          <w:rFonts w:ascii="Arial" w:eastAsia="Times New Roman" w:hAnsi="Arial" w:cs="Arial"/>
          <w:color w:val="000000" w:themeColor="text1"/>
          <w:sz w:val="22"/>
          <w:szCs w:val="22"/>
          <w:lang w:val="es-ES" w:eastAsia="es-ES"/>
        </w:rPr>
      </w:pPr>
      <w:r w:rsidRPr="00590E27">
        <w:rPr>
          <w:rFonts w:ascii="Arial" w:eastAsia="Times New Roman" w:hAnsi="Arial" w:cs="Arial"/>
          <w:color w:val="000000" w:themeColor="text1"/>
          <w:sz w:val="22"/>
          <w:szCs w:val="22"/>
          <w:lang w:val="es-ES" w:eastAsia="es-ES"/>
        </w:rPr>
        <w:t>Efectivamente</w:t>
      </w:r>
      <w:r w:rsidR="00590E27">
        <w:rPr>
          <w:rFonts w:ascii="Arial" w:eastAsia="Times New Roman" w:hAnsi="Arial" w:cs="Arial"/>
          <w:color w:val="000000" w:themeColor="text1"/>
          <w:sz w:val="22"/>
          <w:szCs w:val="22"/>
          <w:lang w:val="es-ES" w:eastAsia="es-ES"/>
        </w:rPr>
        <w:t xml:space="preserve"> los tipos de licitación que constan en el ANEXO I</w:t>
      </w:r>
      <w:r w:rsidRPr="00590E27">
        <w:rPr>
          <w:rFonts w:ascii="Arial" w:eastAsia="Times New Roman" w:hAnsi="Arial" w:cs="Arial"/>
          <w:color w:val="000000" w:themeColor="text1"/>
          <w:sz w:val="22"/>
          <w:szCs w:val="22"/>
          <w:lang w:val="es-ES" w:eastAsia="es-ES"/>
        </w:rPr>
        <w:t xml:space="preserve"> se corresponde </w:t>
      </w:r>
      <w:r w:rsidR="00590E27">
        <w:rPr>
          <w:rFonts w:ascii="Arial" w:eastAsia="Times New Roman" w:hAnsi="Arial" w:cs="Arial"/>
          <w:color w:val="000000" w:themeColor="text1"/>
          <w:sz w:val="22"/>
          <w:szCs w:val="22"/>
          <w:lang w:val="es-ES" w:eastAsia="es-ES"/>
        </w:rPr>
        <w:t>con e</w:t>
      </w:r>
      <w:r w:rsidRPr="00590E27">
        <w:rPr>
          <w:rFonts w:ascii="Arial" w:eastAsia="Times New Roman" w:hAnsi="Arial" w:cs="Arial"/>
          <w:color w:val="000000" w:themeColor="text1"/>
          <w:sz w:val="22"/>
          <w:szCs w:val="22"/>
          <w:lang w:val="es-ES" w:eastAsia="es-ES"/>
        </w:rPr>
        <w:t xml:space="preserve">l canon anual </w:t>
      </w:r>
      <w:r w:rsidR="00590E27">
        <w:rPr>
          <w:rFonts w:ascii="Arial" w:eastAsia="Times New Roman" w:hAnsi="Arial" w:cs="Arial"/>
          <w:color w:val="000000" w:themeColor="text1"/>
          <w:sz w:val="22"/>
          <w:szCs w:val="22"/>
          <w:lang w:val="es-ES" w:eastAsia="es-ES"/>
        </w:rPr>
        <w:t xml:space="preserve">de salida </w:t>
      </w:r>
      <w:r w:rsidRPr="00590E27">
        <w:rPr>
          <w:rFonts w:ascii="Arial" w:eastAsia="Times New Roman" w:hAnsi="Arial" w:cs="Arial"/>
          <w:color w:val="000000" w:themeColor="text1"/>
          <w:sz w:val="22"/>
          <w:szCs w:val="22"/>
          <w:lang w:val="es-ES" w:eastAsia="es-ES"/>
        </w:rPr>
        <w:t>correspondiente a la temporada de 2018.</w:t>
      </w:r>
    </w:p>
    <w:p w:rsidR="00D634BE" w:rsidRPr="00590E27" w:rsidRDefault="00D634BE" w:rsidP="00C5394E">
      <w:pPr>
        <w:jc w:val="both"/>
        <w:rPr>
          <w:rFonts w:ascii="Arial" w:eastAsia="Times New Roman" w:hAnsi="Arial" w:cs="Arial"/>
          <w:color w:val="000000" w:themeColor="text1"/>
          <w:sz w:val="22"/>
          <w:szCs w:val="22"/>
          <w:lang w:val="es-ES" w:eastAsia="es-ES"/>
        </w:rPr>
      </w:pPr>
    </w:p>
    <w:p w:rsidR="00D634BE" w:rsidRPr="00590E27" w:rsidRDefault="00590E27" w:rsidP="00C5394E">
      <w:pPr>
        <w:jc w:val="both"/>
        <w:rPr>
          <w:rFonts w:ascii="Arial" w:eastAsia="Times New Roman" w:hAnsi="Arial" w:cs="Arial"/>
          <w:color w:val="000000" w:themeColor="text1"/>
          <w:sz w:val="22"/>
          <w:szCs w:val="22"/>
          <w:lang w:val="es-ES" w:eastAsia="es-ES"/>
        </w:rPr>
      </w:pPr>
      <w:r>
        <w:rPr>
          <w:rFonts w:ascii="Arial" w:eastAsia="Times New Roman" w:hAnsi="Arial" w:cs="Arial"/>
          <w:color w:val="000000" w:themeColor="text1"/>
          <w:sz w:val="22"/>
          <w:szCs w:val="22"/>
          <w:lang w:val="es-ES" w:eastAsia="es-ES"/>
        </w:rPr>
        <w:t>Ello c</w:t>
      </w:r>
      <w:r w:rsidR="00D634BE" w:rsidRPr="00590E27">
        <w:rPr>
          <w:rFonts w:ascii="Arial" w:eastAsia="Times New Roman" w:hAnsi="Arial" w:cs="Arial"/>
          <w:color w:val="000000" w:themeColor="text1"/>
          <w:sz w:val="22"/>
          <w:szCs w:val="22"/>
          <w:lang w:val="es-ES" w:eastAsia="es-ES"/>
        </w:rPr>
        <w:t>onforme la cláusula 7</w:t>
      </w:r>
      <w:r>
        <w:rPr>
          <w:rFonts w:ascii="Arial" w:eastAsia="Times New Roman" w:hAnsi="Arial" w:cs="Arial"/>
          <w:color w:val="000000" w:themeColor="text1"/>
          <w:sz w:val="22"/>
          <w:szCs w:val="22"/>
          <w:lang w:val="es-ES" w:eastAsia="es-ES"/>
        </w:rPr>
        <w:t xml:space="preserve"> PCAP:</w:t>
      </w:r>
      <w:r w:rsidR="00D634BE" w:rsidRPr="00590E27">
        <w:rPr>
          <w:rFonts w:ascii="Arial" w:eastAsia="Times New Roman" w:hAnsi="Arial" w:cs="Arial"/>
          <w:color w:val="000000" w:themeColor="text1"/>
          <w:sz w:val="22"/>
          <w:szCs w:val="22"/>
          <w:lang w:val="es-ES" w:eastAsia="es-ES"/>
        </w:rPr>
        <w:t xml:space="preserve"> </w:t>
      </w:r>
    </w:p>
    <w:p w:rsidR="00D634BE" w:rsidRPr="00590E27" w:rsidRDefault="00D634BE" w:rsidP="00C5394E">
      <w:pPr>
        <w:jc w:val="both"/>
        <w:rPr>
          <w:rFonts w:ascii="Arial" w:eastAsia="Times New Roman" w:hAnsi="Arial" w:cs="Arial"/>
          <w:color w:val="000000" w:themeColor="text1"/>
          <w:sz w:val="22"/>
          <w:szCs w:val="22"/>
          <w:lang w:val="es-ES" w:eastAsia="es-ES"/>
        </w:rPr>
      </w:pPr>
    </w:p>
    <w:p w:rsidR="00590E27" w:rsidRP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w:t>
      </w:r>
      <w:r w:rsidRPr="00590E27">
        <w:rPr>
          <w:rFonts w:ascii="Arial" w:hAnsi="Arial" w:cs="Arial"/>
          <w:i/>
          <w:color w:val="000000"/>
          <w:sz w:val="22"/>
          <w:szCs w:val="22"/>
          <w:lang w:val="es-ES"/>
        </w:rPr>
        <w:t xml:space="preserve">El tipo de licitación viene determinado en función del canon municipal que el adjudicatario deberá satisfacer al Ayuntamiento y del periodo de la autorización. A estos efectos, el Ayuntamiento de Sant Josep de sa Talaia convoca la licitación de las autorizaciones por el importe mínimo que deberán abonar los contratistas por la explotación de los derechos inherentes a las mismas y la correspondiente ocupación del dominio público marítimo-terrestre conforme a la relación que consta en el ANEXO I del presente pliego. </w:t>
      </w:r>
    </w:p>
    <w:p w:rsidR="00590E27" w:rsidRPr="00590E27" w:rsidRDefault="00590E27" w:rsidP="00590E27">
      <w:pPr>
        <w:widowControl w:val="0"/>
        <w:autoSpaceDE w:val="0"/>
        <w:autoSpaceDN w:val="0"/>
        <w:adjustRightInd w:val="0"/>
        <w:ind w:left="360"/>
        <w:jc w:val="both"/>
        <w:rPr>
          <w:rFonts w:ascii="Arial" w:hAnsi="Arial" w:cs="Arial"/>
          <w:i/>
          <w:color w:val="000000"/>
          <w:sz w:val="22"/>
          <w:szCs w:val="22"/>
          <w:lang w:val="es-ES"/>
        </w:rPr>
      </w:pPr>
    </w:p>
    <w:p w:rsid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 xml:space="preserve">Para el cálculo del canon se han considerado los </w:t>
      </w:r>
      <w:r w:rsidRPr="00590E27">
        <w:rPr>
          <w:rFonts w:ascii="Arial" w:hAnsi="Arial" w:cs="Arial"/>
          <w:b/>
          <w:i/>
          <w:color w:val="000000"/>
          <w:sz w:val="22"/>
          <w:szCs w:val="22"/>
          <w:lang w:val="es-ES"/>
        </w:rPr>
        <w:t>cánones anuales</w:t>
      </w:r>
      <w:r w:rsidRPr="00590E27">
        <w:rPr>
          <w:rFonts w:ascii="Arial" w:hAnsi="Arial" w:cs="Arial"/>
          <w:i/>
          <w:color w:val="000000"/>
          <w:sz w:val="22"/>
          <w:szCs w:val="22"/>
          <w:lang w:val="es-ES"/>
        </w:rPr>
        <w:t xml:space="preserve"> correspondientes a las autorizaciones de los aprovechamientos temporales y fijos de las playas según las Condiciones Generales impuestas por la Demarcación de Costas en Illes Balears, los costes de los servicios prestados en ejercicio de las competencias municipales en el litoral y </w:t>
      </w:r>
      <w:r w:rsidRPr="00590E27">
        <w:rPr>
          <w:rFonts w:ascii="Arial" w:hAnsi="Arial" w:cs="Arial"/>
          <w:b/>
          <w:i/>
          <w:color w:val="000000"/>
          <w:sz w:val="22"/>
          <w:szCs w:val="22"/>
          <w:lang w:val="es-ES"/>
        </w:rPr>
        <w:t>el canon anual a aplicar a los aprovechamientos de playas</w:t>
      </w:r>
      <w:r w:rsidRPr="00590E27">
        <w:rPr>
          <w:rFonts w:ascii="Arial" w:hAnsi="Arial" w:cs="Arial"/>
          <w:i/>
          <w:color w:val="000000"/>
          <w:sz w:val="22"/>
          <w:szCs w:val="22"/>
          <w:lang w:val="es-ES"/>
        </w:rPr>
        <w:t xml:space="preserve">, en base a los siguientes criterios: </w:t>
      </w:r>
    </w:p>
    <w:p w:rsidR="00590E27" w:rsidRPr="00590E27" w:rsidRDefault="00590E27" w:rsidP="00590E27">
      <w:pPr>
        <w:widowControl w:val="0"/>
        <w:autoSpaceDE w:val="0"/>
        <w:autoSpaceDN w:val="0"/>
        <w:adjustRightInd w:val="0"/>
        <w:ind w:left="360"/>
        <w:jc w:val="both"/>
        <w:rPr>
          <w:rFonts w:ascii="Arial" w:hAnsi="Arial" w:cs="Arial"/>
          <w:i/>
          <w:color w:val="000000"/>
          <w:sz w:val="22"/>
          <w:szCs w:val="22"/>
          <w:lang w:val="es-ES"/>
        </w:rPr>
      </w:pPr>
    </w:p>
    <w:p w:rsidR="00590E27" w:rsidRP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o</w:t>
      </w:r>
      <w:r w:rsidRPr="00590E27">
        <w:rPr>
          <w:rFonts w:ascii="Arial" w:hAnsi="Arial" w:cs="Arial"/>
          <w:i/>
          <w:color w:val="000000"/>
          <w:sz w:val="22"/>
          <w:szCs w:val="22"/>
          <w:lang w:val="es-ES"/>
        </w:rPr>
        <w:tab/>
        <w:t xml:space="preserve">Canon calculado por el Servicio Periférico de Costas </w:t>
      </w:r>
    </w:p>
    <w:p w:rsidR="00590E27" w:rsidRP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o</w:t>
      </w:r>
      <w:r w:rsidRPr="00590E27">
        <w:rPr>
          <w:rFonts w:ascii="Arial" w:hAnsi="Arial" w:cs="Arial"/>
          <w:i/>
          <w:color w:val="000000"/>
          <w:sz w:val="22"/>
          <w:szCs w:val="22"/>
          <w:lang w:val="es-ES"/>
        </w:rPr>
        <w:tab/>
        <w:t xml:space="preserve">Superficie de ocupación </w:t>
      </w:r>
    </w:p>
    <w:p w:rsidR="00590E27" w:rsidRP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o</w:t>
      </w:r>
      <w:r w:rsidRPr="00590E27">
        <w:rPr>
          <w:rFonts w:ascii="Arial" w:hAnsi="Arial" w:cs="Arial"/>
          <w:i/>
          <w:color w:val="000000"/>
          <w:sz w:val="22"/>
          <w:szCs w:val="22"/>
          <w:lang w:val="es-ES"/>
        </w:rPr>
        <w:tab/>
        <w:t xml:space="preserve">Diversa rentabilidad de los meses que componen la temporada </w:t>
      </w:r>
    </w:p>
    <w:p w:rsid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o</w:t>
      </w:r>
      <w:r w:rsidRPr="00590E27">
        <w:rPr>
          <w:rFonts w:ascii="Arial" w:hAnsi="Arial" w:cs="Arial"/>
          <w:i/>
          <w:color w:val="000000"/>
          <w:sz w:val="22"/>
          <w:szCs w:val="22"/>
          <w:lang w:val="es-ES"/>
        </w:rPr>
        <w:tab/>
        <w:t>Costes municipales generados por las playas, consistentes en el Balizamiento, Plan de Salvamento, Limpieza de Playas, mantenimiento y mejora de playas y equipamientos para cubrir las necesidades básicas de las playas.</w:t>
      </w:r>
    </w:p>
    <w:p w:rsidR="00590E27" w:rsidRDefault="00590E27" w:rsidP="00590E27">
      <w:pPr>
        <w:widowControl w:val="0"/>
        <w:autoSpaceDE w:val="0"/>
        <w:autoSpaceDN w:val="0"/>
        <w:adjustRightInd w:val="0"/>
        <w:ind w:left="360"/>
        <w:jc w:val="both"/>
        <w:rPr>
          <w:rFonts w:ascii="Arial" w:hAnsi="Arial" w:cs="Arial"/>
          <w:i/>
          <w:color w:val="000000"/>
          <w:sz w:val="22"/>
          <w:szCs w:val="22"/>
          <w:lang w:val="es-ES"/>
        </w:rPr>
      </w:pPr>
    </w:p>
    <w:p w:rsidR="00590E27" w:rsidRDefault="00590E27" w:rsidP="00590E27">
      <w:pPr>
        <w:widowControl w:val="0"/>
        <w:autoSpaceDE w:val="0"/>
        <w:autoSpaceDN w:val="0"/>
        <w:adjustRightInd w:val="0"/>
        <w:ind w:left="360"/>
        <w:jc w:val="both"/>
        <w:rPr>
          <w:rFonts w:ascii="Arial" w:hAnsi="Arial" w:cs="Arial"/>
          <w:i/>
          <w:color w:val="000000"/>
          <w:sz w:val="22"/>
          <w:szCs w:val="22"/>
          <w:lang w:val="es-ES"/>
        </w:rPr>
      </w:pPr>
      <w:r>
        <w:rPr>
          <w:rFonts w:ascii="Arial" w:hAnsi="Arial" w:cs="Arial"/>
          <w:i/>
          <w:color w:val="000000"/>
          <w:sz w:val="22"/>
          <w:szCs w:val="22"/>
          <w:lang w:val="es-ES"/>
        </w:rPr>
        <w:t xml:space="preserve">(…) </w:t>
      </w:r>
    </w:p>
    <w:p w:rsidR="00590E27" w:rsidRDefault="00590E27" w:rsidP="00590E27">
      <w:pPr>
        <w:widowControl w:val="0"/>
        <w:autoSpaceDE w:val="0"/>
        <w:autoSpaceDN w:val="0"/>
        <w:adjustRightInd w:val="0"/>
        <w:ind w:left="360"/>
        <w:jc w:val="both"/>
        <w:rPr>
          <w:rFonts w:ascii="Arial" w:hAnsi="Arial" w:cs="Arial"/>
          <w:i/>
          <w:color w:val="000000"/>
          <w:sz w:val="22"/>
          <w:szCs w:val="22"/>
          <w:lang w:val="es-ES"/>
        </w:rPr>
      </w:pPr>
    </w:p>
    <w:p w:rsidR="00D634BE" w:rsidRPr="00590E27" w:rsidRDefault="00D634BE" w:rsidP="00590E27">
      <w:pPr>
        <w:widowControl w:val="0"/>
        <w:autoSpaceDE w:val="0"/>
        <w:autoSpaceDN w:val="0"/>
        <w:adjustRightInd w:val="0"/>
        <w:ind w:left="360"/>
        <w:jc w:val="both"/>
        <w:rPr>
          <w:rFonts w:ascii="Arial" w:hAnsi="Arial" w:cs="Arial"/>
          <w:i/>
          <w:color w:val="000000"/>
          <w:sz w:val="22"/>
          <w:szCs w:val="22"/>
          <w:lang w:val="es-ES"/>
        </w:rPr>
      </w:pPr>
      <w:r w:rsidRPr="00590E27">
        <w:rPr>
          <w:rFonts w:ascii="Arial" w:hAnsi="Arial" w:cs="Arial"/>
          <w:i/>
          <w:color w:val="000000"/>
          <w:sz w:val="22"/>
          <w:szCs w:val="22"/>
          <w:lang w:val="es-ES"/>
        </w:rPr>
        <w:t>Los licitadores podrán formular ofertas económicas de acuerdo con las siguientes reglas:</w:t>
      </w:r>
    </w:p>
    <w:p w:rsidR="00D634BE" w:rsidRPr="00590E27" w:rsidRDefault="00D634BE" w:rsidP="00D634BE">
      <w:pPr>
        <w:widowControl w:val="0"/>
        <w:autoSpaceDE w:val="0"/>
        <w:autoSpaceDN w:val="0"/>
        <w:adjustRightInd w:val="0"/>
        <w:ind w:left="360"/>
        <w:jc w:val="both"/>
        <w:rPr>
          <w:rFonts w:ascii="Arial" w:hAnsi="Arial" w:cs="Arial"/>
          <w:i/>
          <w:color w:val="000000"/>
          <w:sz w:val="22"/>
          <w:szCs w:val="22"/>
          <w:lang w:val="es-ES"/>
        </w:rPr>
      </w:pPr>
    </w:p>
    <w:p w:rsidR="00D634BE" w:rsidRPr="00590E27" w:rsidRDefault="00D634BE" w:rsidP="00D634BE">
      <w:pPr>
        <w:pStyle w:val="Prrafodelista"/>
        <w:widowControl w:val="0"/>
        <w:numPr>
          <w:ilvl w:val="0"/>
          <w:numId w:val="14"/>
        </w:numPr>
        <w:autoSpaceDE w:val="0"/>
        <w:autoSpaceDN w:val="0"/>
        <w:adjustRightInd w:val="0"/>
        <w:ind w:left="1080"/>
        <w:jc w:val="both"/>
        <w:rPr>
          <w:rFonts w:ascii="Arial" w:hAnsi="Arial" w:cs="Arial"/>
          <w:i/>
          <w:color w:val="000000"/>
          <w:sz w:val="22"/>
          <w:szCs w:val="22"/>
          <w:lang w:val="es-ES"/>
        </w:rPr>
      </w:pPr>
      <w:r w:rsidRPr="00590E27">
        <w:rPr>
          <w:rFonts w:ascii="Arial" w:hAnsi="Arial" w:cs="Arial"/>
          <w:i/>
          <w:color w:val="000000"/>
          <w:sz w:val="22"/>
          <w:szCs w:val="22"/>
          <w:lang w:val="es-ES"/>
        </w:rPr>
        <w:t>Los cánones mínimos base de licitación correspondientes a cada una de las instalaciones temporales son los detallados en el ANEXO I del presente pliego, podrán ser modificados al alza como consecuencia de la licitación.</w:t>
      </w:r>
      <w:r w:rsidR="00590E27" w:rsidRPr="00590E27">
        <w:rPr>
          <w:rFonts w:ascii="Arial" w:hAnsi="Arial" w:cs="Arial"/>
          <w:i/>
          <w:color w:val="000000"/>
          <w:sz w:val="22"/>
          <w:szCs w:val="22"/>
          <w:lang w:val="es-ES"/>
        </w:rPr>
        <w:t>”</w:t>
      </w:r>
    </w:p>
    <w:p w:rsidR="00D634BE" w:rsidRPr="00590E27" w:rsidRDefault="00D634BE" w:rsidP="00D634BE">
      <w:pPr>
        <w:pStyle w:val="NormalWeb"/>
        <w:spacing w:before="0" w:beforeAutospacing="0" w:after="0" w:afterAutospacing="0"/>
        <w:ind w:left="708"/>
        <w:jc w:val="both"/>
        <w:rPr>
          <w:rFonts w:ascii="Arial" w:hAnsi="Arial" w:cs="Arial"/>
          <w:i/>
          <w:sz w:val="22"/>
          <w:szCs w:val="22"/>
        </w:rPr>
      </w:pPr>
    </w:p>
    <w:p w:rsidR="00D634BE" w:rsidRPr="00590E27" w:rsidRDefault="00D634BE" w:rsidP="00C5394E">
      <w:pPr>
        <w:jc w:val="both"/>
        <w:rPr>
          <w:rFonts w:ascii="Arial" w:eastAsia="Times New Roman" w:hAnsi="Arial" w:cs="Arial"/>
          <w:color w:val="000000" w:themeColor="text1"/>
          <w:sz w:val="22"/>
          <w:szCs w:val="22"/>
          <w:u w:val="single"/>
          <w:lang w:val="es-ES" w:eastAsia="es-ES"/>
        </w:rPr>
      </w:pPr>
      <w:r w:rsidRPr="00590E27">
        <w:rPr>
          <w:rFonts w:ascii="Arial" w:eastAsia="Times New Roman" w:hAnsi="Arial" w:cs="Arial"/>
          <w:color w:val="000000" w:themeColor="text1"/>
          <w:sz w:val="22"/>
          <w:szCs w:val="22"/>
          <w:lang w:val="es-ES" w:eastAsia="es-ES"/>
        </w:rPr>
        <w:t>Y las cláusulas 15.1.1.1, 15.1.2.1 y 15.1.3.1</w:t>
      </w:r>
      <w:r w:rsidR="00590E27">
        <w:rPr>
          <w:rFonts w:ascii="Arial" w:eastAsia="Times New Roman" w:hAnsi="Arial" w:cs="Arial"/>
          <w:color w:val="000000" w:themeColor="text1"/>
          <w:sz w:val="22"/>
          <w:szCs w:val="22"/>
          <w:lang w:val="es-ES" w:eastAsia="es-ES"/>
        </w:rPr>
        <w:t xml:space="preserve"> PCAP</w:t>
      </w:r>
      <w:r w:rsidR="00590E27" w:rsidRPr="00590E27">
        <w:rPr>
          <w:rFonts w:ascii="Arial" w:eastAsia="Times New Roman" w:hAnsi="Arial" w:cs="Arial"/>
          <w:color w:val="000000" w:themeColor="text1"/>
          <w:sz w:val="22"/>
          <w:szCs w:val="22"/>
          <w:lang w:val="es-ES" w:eastAsia="es-ES"/>
        </w:rPr>
        <w:t>, que contienen idéntica redacción</w:t>
      </w:r>
      <w:r w:rsidRPr="00590E27">
        <w:rPr>
          <w:rFonts w:ascii="Arial" w:eastAsia="Times New Roman" w:hAnsi="Arial" w:cs="Arial"/>
          <w:color w:val="000000" w:themeColor="text1"/>
          <w:sz w:val="22"/>
          <w:szCs w:val="22"/>
          <w:lang w:val="es-ES" w:eastAsia="es-ES"/>
        </w:rPr>
        <w:t>:</w:t>
      </w:r>
    </w:p>
    <w:p w:rsidR="00D634BE" w:rsidRPr="00590E27" w:rsidRDefault="00D634BE" w:rsidP="00D634BE">
      <w:pPr>
        <w:widowControl w:val="0"/>
        <w:autoSpaceDE w:val="0"/>
        <w:autoSpaceDN w:val="0"/>
        <w:adjustRightInd w:val="0"/>
        <w:spacing w:before="60"/>
        <w:jc w:val="both"/>
        <w:rPr>
          <w:rFonts w:ascii="Arial" w:hAnsi="Arial" w:cs="Arial"/>
          <w:i/>
          <w:color w:val="000000"/>
          <w:sz w:val="22"/>
          <w:szCs w:val="22"/>
          <w:lang w:val="es-ES"/>
        </w:rPr>
      </w:pPr>
    </w:p>
    <w:p w:rsidR="00D634BE" w:rsidRPr="00590E27" w:rsidRDefault="00590E27" w:rsidP="00D634BE">
      <w:pPr>
        <w:widowControl w:val="0"/>
        <w:autoSpaceDE w:val="0"/>
        <w:autoSpaceDN w:val="0"/>
        <w:adjustRightInd w:val="0"/>
        <w:ind w:left="708"/>
        <w:jc w:val="both"/>
        <w:rPr>
          <w:rFonts w:ascii="Arial" w:hAnsi="Arial" w:cs="Arial"/>
          <w:i/>
          <w:color w:val="000000"/>
          <w:sz w:val="22"/>
          <w:szCs w:val="22"/>
          <w:lang w:val="es-ES"/>
        </w:rPr>
      </w:pPr>
      <w:r w:rsidRPr="00590E27">
        <w:rPr>
          <w:rFonts w:ascii="Arial" w:hAnsi="Arial" w:cs="Arial"/>
          <w:i/>
          <w:color w:val="000000"/>
          <w:sz w:val="22"/>
          <w:szCs w:val="22"/>
          <w:lang w:val="es-ES"/>
        </w:rPr>
        <w:t>“</w:t>
      </w:r>
      <w:r w:rsidR="00D634BE" w:rsidRPr="00590E27">
        <w:rPr>
          <w:rFonts w:ascii="Arial" w:hAnsi="Arial" w:cs="Arial"/>
          <w:i/>
          <w:color w:val="000000"/>
          <w:sz w:val="22"/>
          <w:szCs w:val="22"/>
          <w:lang w:val="es-ES"/>
        </w:rPr>
        <w:t>Oferta económica (hasta 40 puntos, 40% ponderación)</w:t>
      </w:r>
    </w:p>
    <w:p w:rsidR="00D634BE" w:rsidRPr="00590E27" w:rsidRDefault="00D634BE" w:rsidP="00D634BE">
      <w:pPr>
        <w:widowControl w:val="0"/>
        <w:autoSpaceDE w:val="0"/>
        <w:autoSpaceDN w:val="0"/>
        <w:adjustRightInd w:val="0"/>
        <w:ind w:left="708"/>
        <w:jc w:val="both"/>
        <w:rPr>
          <w:rFonts w:ascii="Arial" w:hAnsi="Arial" w:cs="Arial"/>
          <w:i/>
          <w:color w:val="000000"/>
          <w:sz w:val="22"/>
          <w:szCs w:val="22"/>
          <w:lang w:val="es-ES"/>
        </w:rPr>
      </w:pPr>
    </w:p>
    <w:p w:rsidR="00D634BE" w:rsidRPr="00590E27" w:rsidRDefault="00D634BE" w:rsidP="00D634BE">
      <w:pPr>
        <w:widowControl w:val="0"/>
        <w:autoSpaceDE w:val="0"/>
        <w:autoSpaceDN w:val="0"/>
        <w:adjustRightInd w:val="0"/>
        <w:ind w:left="708"/>
        <w:jc w:val="both"/>
        <w:rPr>
          <w:rFonts w:ascii="Arial" w:hAnsi="Arial" w:cs="Arial"/>
          <w:i/>
          <w:color w:val="000000"/>
          <w:sz w:val="22"/>
          <w:szCs w:val="22"/>
          <w:lang w:val="es-ES"/>
        </w:rPr>
      </w:pPr>
      <w:r w:rsidRPr="00590E27">
        <w:rPr>
          <w:rFonts w:ascii="Arial" w:hAnsi="Arial" w:cs="Arial"/>
          <w:b/>
          <w:i/>
          <w:color w:val="000000"/>
          <w:sz w:val="22"/>
          <w:szCs w:val="22"/>
          <w:lang w:val="es-ES"/>
        </w:rPr>
        <w:t>Canon anual ofertado</w:t>
      </w:r>
      <w:r w:rsidRPr="00590E27">
        <w:rPr>
          <w:rFonts w:ascii="Arial" w:hAnsi="Arial" w:cs="Arial"/>
          <w:i/>
          <w:color w:val="000000"/>
          <w:sz w:val="22"/>
          <w:szCs w:val="22"/>
          <w:lang w:val="es-ES"/>
        </w:rPr>
        <w:t xml:space="preserve"> …………...……hasta 40 puntos (40% ponderación)</w:t>
      </w:r>
    </w:p>
    <w:p w:rsidR="00D634BE" w:rsidRPr="00590E27" w:rsidRDefault="00D634BE" w:rsidP="00D634BE">
      <w:pPr>
        <w:widowControl w:val="0"/>
        <w:autoSpaceDE w:val="0"/>
        <w:autoSpaceDN w:val="0"/>
        <w:adjustRightInd w:val="0"/>
        <w:ind w:left="708"/>
        <w:jc w:val="both"/>
        <w:rPr>
          <w:rFonts w:ascii="Arial" w:hAnsi="Arial" w:cs="Arial"/>
          <w:i/>
          <w:color w:val="000000"/>
          <w:sz w:val="22"/>
          <w:szCs w:val="22"/>
          <w:lang w:val="es-ES"/>
        </w:rPr>
      </w:pPr>
    </w:p>
    <w:p w:rsidR="00D634BE" w:rsidRPr="00590E27" w:rsidRDefault="00D634BE" w:rsidP="00D634BE">
      <w:pPr>
        <w:ind w:left="708"/>
        <w:jc w:val="both"/>
        <w:rPr>
          <w:rStyle w:val="apple-converted-space"/>
          <w:rFonts w:ascii="Arial" w:hAnsi="Arial" w:cs="Arial"/>
          <w:i/>
          <w:color w:val="000000"/>
          <w:sz w:val="22"/>
          <w:szCs w:val="22"/>
          <w:shd w:val="clear" w:color="auto" w:fill="FFFFFF"/>
          <w:lang w:val="es-ES"/>
        </w:rPr>
      </w:pPr>
      <w:r w:rsidRPr="00590E27">
        <w:rPr>
          <w:rFonts w:ascii="Arial" w:hAnsi="Arial" w:cs="Arial"/>
          <w:i/>
          <w:color w:val="000000"/>
          <w:sz w:val="22"/>
          <w:szCs w:val="22"/>
          <w:lang w:val="es-ES"/>
        </w:rPr>
        <w:t xml:space="preserve">Se puntuará con 40 puntos la oferta económica que más incremente el canon anual base de licitación y con 0 puntos las ofertas que coincidan con el canon </w:t>
      </w:r>
      <w:r w:rsidRPr="00590E27">
        <w:rPr>
          <w:rFonts w:ascii="Arial" w:hAnsi="Arial" w:cs="Arial"/>
          <w:i/>
          <w:color w:val="000000"/>
          <w:sz w:val="22"/>
          <w:szCs w:val="22"/>
          <w:lang w:val="es-ES"/>
        </w:rPr>
        <w:lastRenderedPageBreak/>
        <w:t>anual base de licitación, al resto de ofertas se les asignarán los puntos que proporcionalmente correspondan de acuerdo con la siguiente fórmula:</w:t>
      </w:r>
    </w:p>
    <w:p w:rsidR="00D634BE" w:rsidRPr="00590E27" w:rsidRDefault="00D634BE" w:rsidP="00D634BE">
      <w:pPr>
        <w:ind w:left="708"/>
        <w:rPr>
          <w:rStyle w:val="apple-converted-space"/>
          <w:rFonts w:ascii="Arial" w:hAnsi="Arial" w:cs="Arial"/>
          <w:i/>
          <w:color w:val="000000"/>
          <w:sz w:val="22"/>
          <w:szCs w:val="22"/>
          <w:shd w:val="clear" w:color="auto" w:fill="FFFFFF"/>
          <w:lang w:val="es-ES"/>
        </w:rPr>
      </w:pPr>
    </w:p>
    <w:p w:rsidR="00D634BE" w:rsidRPr="00590E27" w:rsidRDefault="00D634BE" w:rsidP="00D634BE">
      <w:pPr>
        <w:ind w:left="708"/>
        <w:rPr>
          <w:rFonts w:ascii="Arial" w:eastAsia="Times New Roman" w:hAnsi="Arial" w:cs="Arial"/>
          <w:i/>
          <w:color w:val="000000"/>
          <w:sz w:val="22"/>
          <w:szCs w:val="22"/>
          <w:shd w:val="clear" w:color="auto" w:fill="FFFFFF"/>
          <w:lang w:val="es-ES"/>
        </w:rPr>
      </w:pPr>
      <w:r w:rsidRPr="00590E27">
        <w:rPr>
          <w:rFonts w:ascii="Arial" w:eastAsia="Times New Roman" w:hAnsi="Arial" w:cs="Arial"/>
          <w:i/>
          <w:color w:val="222222"/>
          <w:sz w:val="22"/>
          <w:szCs w:val="22"/>
          <w:shd w:val="clear" w:color="auto" w:fill="FFFFFF"/>
          <w:lang w:val="es-ES" w:eastAsia="es-ES"/>
        </w:rPr>
        <w:t>P= 40*(IO/MI)</w:t>
      </w:r>
    </w:p>
    <w:p w:rsidR="00D634BE" w:rsidRPr="00590E27" w:rsidRDefault="00D634BE" w:rsidP="00D634BE">
      <w:pPr>
        <w:ind w:left="708"/>
        <w:rPr>
          <w:rFonts w:ascii="Arial" w:eastAsia="Times New Roman" w:hAnsi="Arial" w:cs="Arial"/>
          <w:i/>
          <w:color w:val="000000"/>
          <w:sz w:val="22"/>
          <w:szCs w:val="22"/>
          <w:shd w:val="clear" w:color="auto" w:fill="FFFFFF"/>
          <w:lang w:val="es-ES"/>
        </w:rPr>
      </w:pPr>
    </w:p>
    <w:p w:rsidR="00D634BE" w:rsidRPr="00590E27" w:rsidRDefault="00D634BE" w:rsidP="00D634BE">
      <w:pPr>
        <w:ind w:left="708"/>
        <w:rPr>
          <w:rFonts w:ascii="Arial" w:eastAsia="Times New Roman" w:hAnsi="Arial" w:cs="Arial"/>
          <w:i/>
          <w:color w:val="000000"/>
          <w:sz w:val="22"/>
          <w:szCs w:val="22"/>
          <w:shd w:val="clear" w:color="auto" w:fill="FFFFFF"/>
          <w:lang w:val="es-ES"/>
        </w:rPr>
      </w:pPr>
      <w:r w:rsidRPr="00590E27">
        <w:rPr>
          <w:rFonts w:ascii="Arial" w:eastAsia="Times New Roman" w:hAnsi="Arial" w:cs="Arial"/>
          <w:i/>
          <w:color w:val="000000"/>
          <w:sz w:val="22"/>
          <w:szCs w:val="22"/>
          <w:shd w:val="clear" w:color="auto" w:fill="FFFFFF"/>
          <w:lang w:val="es-ES"/>
        </w:rPr>
        <w:t>Donde:</w:t>
      </w:r>
    </w:p>
    <w:p w:rsidR="00D634BE" w:rsidRPr="00590E27" w:rsidRDefault="00D634BE" w:rsidP="00D634BE">
      <w:pPr>
        <w:ind w:left="708"/>
        <w:rPr>
          <w:rFonts w:ascii="Arial" w:eastAsia="Times New Roman" w:hAnsi="Arial" w:cs="Arial"/>
          <w:i/>
          <w:color w:val="000000"/>
          <w:sz w:val="22"/>
          <w:szCs w:val="22"/>
          <w:shd w:val="clear" w:color="auto" w:fill="FFFFFF"/>
          <w:lang w:val="es-ES"/>
        </w:rPr>
      </w:pPr>
    </w:p>
    <w:p w:rsidR="00D634BE" w:rsidRPr="00590E27" w:rsidRDefault="00D634BE" w:rsidP="00D634BE">
      <w:pPr>
        <w:ind w:left="708"/>
        <w:rPr>
          <w:rFonts w:ascii="Arial" w:eastAsia="Times New Roman" w:hAnsi="Arial" w:cs="Arial"/>
          <w:i/>
          <w:color w:val="000000"/>
          <w:sz w:val="22"/>
          <w:szCs w:val="22"/>
          <w:shd w:val="clear" w:color="auto" w:fill="FFFFFF"/>
          <w:lang w:val="es-ES"/>
        </w:rPr>
      </w:pPr>
      <w:r w:rsidRPr="00590E27">
        <w:rPr>
          <w:rFonts w:ascii="Arial" w:eastAsia="Times New Roman" w:hAnsi="Arial" w:cs="Arial"/>
          <w:i/>
          <w:color w:val="000000"/>
          <w:sz w:val="22"/>
          <w:szCs w:val="22"/>
          <w:shd w:val="clear" w:color="auto" w:fill="FFFFFF"/>
          <w:lang w:val="es-ES"/>
        </w:rPr>
        <w:t>P= Puntuación de cada oferta</w:t>
      </w:r>
    </w:p>
    <w:p w:rsidR="00D634BE" w:rsidRPr="00590E27" w:rsidRDefault="00D634BE" w:rsidP="00D634BE">
      <w:pPr>
        <w:ind w:left="708"/>
        <w:rPr>
          <w:rFonts w:ascii="Arial" w:eastAsia="Times New Roman" w:hAnsi="Arial" w:cs="Arial"/>
          <w:i/>
          <w:color w:val="000000"/>
          <w:sz w:val="22"/>
          <w:szCs w:val="22"/>
          <w:shd w:val="clear" w:color="auto" w:fill="FFFFFF"/>
          <w:lang w:val="es-ES"/>
        </w:rPr>
      </w:pPr>
      <w:r w:rsidRPr="00590E27">
        <w:rPr>
          <w:rFonts w:ascii="Arial" w:eastAsia="Times New Roman" w:hAnsi="Arial" w:cs="Arial"/>
          <w:i/>
          <w:color w:val="222222"/>
          <w:sz w:val="22"/>
          <w:szCs w:val="22"/>
          <w:shd w:val="clear" w:color="auto" w:fill="FFFFFF"/>
          <w:lang w:val="es-ES" w:eastAsia="es-ES"/>
        </w:rPr>
        <w:t>IO= incremento ofertado sobre precio salida de la oferta a puntuar</w:t>
      </w:r>
      <w:r w:rsidRPr="00590E27">
        <w:rPr>
          <w:rFonts w:ascii="Arial" w:eastAsia="Times New Roman" w:hAnsi="Arial" w:cs="Arial"/>
          <w:i/>
          <w:color w:val="000000"/>
          <w:sz w:val="22"/>
          <w:szCs w:val="22"/>
          <w:shd w:val="clear" w:color="auto" w:fill="FFFFFF"/>
          <w:lang w:val="es-ES"/>
        </w:rPr>
        <w:t xml:space="preserve"> </w:t>
      </w:r>
    </w:p>
    <w:p w:rsidR="00D634BE" w:rsidRPr="00590E27" w:rsidRDefault="00D634BE" w:rsidP="00D634BE">
      <w:pPr>
        <w:ind w:left="708"/>
        <w:rPr>
          <w:rFonts w:ascii="Arial" w:eastAsia="Times New Roman" w:hAnsi="Arial" w:cs="Arial"/>
          <w:i/>
          <w:color w:val="000000"/>
          <w:sz w:val="22"/>
          <w:szCs w:val="22"/>
          <w:shd w:val="clear" w:color="auto" w:fill="FFFFFF"/>
          <w:lang w:val="es-ES"/>
        </w:rPr>
      </w:pPr>
      <w:r w:rsidRPr="00590E27">
        <w:rPr>
          <w:rFonts w:ascii="Arial" w:eastAsia="Times New Roman" w:hAnsi="Arial" w:cs="Arial"/>
          <w:i/>
          <w:color w:val="222222"/>
          <w:sz w:val="22"/>
          <w:szCs w:val="22"/>
          <w:shd w:val="clear" w:color="auto" w:fill="FFFFFF"/>
          <w:lang w:val="es-ES" w:eastAsia="es-ES"/>
        </w:rPr>
        <w:t>MI= mejor incremento sobre precio salida</w:t>
      </w:r>
      <w:r w:rsidR="00590E27" w:rsidRPr="00590E27">
        <w:rPr>
          <w:rFonts w:ascii="Arial" w:eastAsia="Times New Roman" w:hAnsi="Arial" w:cs="Arial"/>
          <w:i/>
          <w:color w:val="222222"/>
          <w:sz w:val="22"/>
          <w:szCs w:val="22"/>
          <w:shd w:val="clear" w:color="auto" w:fill="FFFFFF"/>
          <w:lang w:val="es-ES" w:eastAsia="es-ES"/>
        </w:rPr>
        <w:t>”</w:t>
      </w:r>
    </w:p>
    <w:p w:rsidR="00D634BE" w:rsidRPr="00590E27" w:rsidRDefault="00D634BE" w:rsidP="00D634BE">
      <w:pPr>
        <w:widowControl w:val="0"/>
        <w:autoSpaceDE w:val="0"/>
        <w:autoSpaceDN w:val="0"/>
        <w:adjustRightInd w:val="0"/>
        <w:jc w:val="both"/>
        <w:rPr>
          <w:rFonts w:ascii="Arial" w:hAnsi="Arial" w:cs="Arial"/>
          <w:color w:val="000000"/>
          <w:sz w:val="22"/>
          <w:szCs w:val="22"/>
          <w:lang w:val="es-ES"/>
        </w:rPr>
      </w:pPr>
    </w:p>
    <w:p w:rsidR="00D634BE" w:rsidRPr="00590E27" w:rsidRDefault="00590E27" w:rsidP="00D634BE">
      <w:pPr>
        <w:rPr>
          <w:rFonts w:ascii="Arial" w:eastAsia="Times New Roman" w:hAnsi="Arial" w:cs="Arial"/>
          <w:color w:val="000000"/>
          <w:sz w:val="22"/>
          <w:szCs w:val="22"/>
          <w:shd w:val="clear" w:color="auto" w:fill="FFFFFF"/>
          <w:lang w:val="es-ES"/>
        </w:rPr>
      </w:pPr>
      <w:r>
        <w:rPr>
          <w:rFonts w:ascii="Arial" w:eastAsia="Times New Roman" w:hAnsi="Arial" w:cs="Arial"/>
          <w:color w:val="000000"/>
          <w:sz w:val="22"/>
          <w:szCs w:val="22"/>
          <w:shd w:val="clear" w:color="auto" w:fill="FFFFFF"/>
          <w:lang w:val="es-ES"/>
        </w:rPr>
        <w:t>Y finalmente la oferta se debe realizar conforme el ANEXO IV:</w:t>
      </w:r>
    </w:p>
    <w:p w:rsidR="00D634BE" w:rsidRDefault="00D634BE" w:rsidP="00590E27">
      <w:pPr>
        <w:jc w:val="both"/>
        <w:rPr>
          <w:rFonts w:ascii="Arial" w:eastAsia="Times New Roman" w:hAnsi="Arial" w:cs="Arial"/>
          <w:b/>
          <w:color w:val="000000" w:themeColor="text1"/>
          <w:sz w:val="22"/>
          <w:szCs w:val="22"/>
          <w:u w:val="single"/>
          <w:lang w:val="es-ES" w:eastAsia="es-ES"/>
        </w:rPr>
      </w:pPr>
    </w:p>
    <w:p w:rsidR="00590E27" w:rsidRPr="00590E27" w:rsidRDefault="00590E27" w:rsidP="00590E27">
      <w:pPr>
        <w:pStyle w:val="Prrafodelista"/>
        <w:jc w:val="both"/>
        <w:rPr>
          <w:rFonts w:ascii="Arial" w:hAnsi="Arial" w:cs="Arial"/>
          <w:i/>
          <w:lang w:val="es-ES"/>
        </w:rPr>
      </w:pPr>
      <w:r>
        <w:rPr>
          <w:rFonts w:ascii="Arial" w:hAnsi="Arial" w:cs="Arial"/>
          <w:b/>
          <w:lang w:val="es-ES"/>
        </w:rPr>
        <w:t>“</w:t>
      </w:r>
      <w:r w:rsidRPr="00F817AF">
        <w:rPr>
          <w:rFonts w:ascii="Arial" w:hAnsi="Arial" w:cs="Arial"/>
          <w:b/>
          <w:lang w:val="es-ES"/>
        </w:rPr>
        <w:t xml:space="preserve">CANON </w:t>
      </w:r>
      <w:r>
        <w:rPr>
          <w:rFonts w:ascii="Arial" w:hAnsi="Arial" w:cs="Arial"/>
          <w:b/>
          <w:lang w:val="es-ES"/>
        </w:rPr>
        <w:t xml:space="preserve">ANUAL DE </w:t>
      </w:r>
      <w:r w:rsidRPr="00E35090">
        <w:rPr>
          <w:rFonts w:ascii="Arial" w:hAnsi="Arial" w:cs="Arial"/>
          <w:i/>
          <w:lang w:val="es-ES"/>
        </w:rPr>
        <w:t>……</w:t>
      </w:r>
      <w:proofErr w:type="gramStart"/>
      <w:r w:rsidRPr="00E35090">
        <w:rPr>
          <w:rFonts w:ascii="Arial" w:hAnsi="Arial" w:cs="Arial"/>
          <w:i/>
          <w:lang w:val="es-ES"/>
        </w:rPr>
        <w:t>…….</w:t>
      </w:r>
      <w:proofErr w:type="gramEnd"/>
      <w:r w:rsidRPr="00E35090">
        <w:rPr>
          <w:rFonts w:ascii="Arial" w:hAnsi="Arial" w:cs="Arial"/>
          <w:i/>
          <w:lang w:val="es-ES"/>
        </w:rPr>
        <w:t>………………………………………...(en números)</w:t>
      </w:r>
      <w:r w:rsidRPr="00590E27">
        <w:rPr>
          <w:rFonts w:ascii="Arial" w:hAnsi="Arial" w:cs="Arial"/>
          <w:i/>
          <w:lang w:val="es-ES"/>
        </w:rPr>
        <w:t>…………………………</w:t>
      </w:r>
      <w:r w:rsidRPr="00590E27">
        <w:rPr>
          <w:rFonts w:ascii="Arial" w:hAnsi="Arial" w:cs="Arial"/>
          <w:i/>
          <w:lang w:val="es-ES"/>
        </w:rPr>
        <w:t>…...…………………………(en letras)</w:t>
      </w:r>
      <w:r w:rsidRPr="00590E27">
        <w:rPr>
          <w:rFonts w:ascii="Arial" w:hAnsi="Arial" w:cs="Arial"/>
          <w:lang w:val="es-ES"/>
        </w:rPr>
        <w:t xml:space="preserve"> (OFERTA AL ALZA </w:t>
      </w:r>
      <w:bookmarkStart w:id="0" w:name="_GoBack"/>
      <w:r w:rsidRPr="00E174D2">
        <w:rPr>
          <w:rFonts w:ascii="Arial" w:hAnsi="Arial" w:cs="Arial"/>
          <w:b/>
          <w:lang w:val="es-ES"/>
        </w:rPr>
        <w:t>SOBRE EL MÍNIMO DE LICITACIÓN</w:t>
      </w:r>
      <w:r w:rsidRPr="00590E27">
        <w:rPr>
          <w:rFonts w:ascii="Arial" w:hAnsi="Arial" w:cs="Arial"/>
          <w:lang w:val="es-ES"/>
        </w:rPr>
        <w:t xml:space="preserve"> </w:t>
      </w:r>
      <w:bookmarkEnd w:id="0"/>
      <w:r w:rsidRPr="00590E27">
        <w:rPr>
          <w:rFonts w:ascii="Arial" w:hAnsi="Arial" w:cs="Arial"/>
          <w:lang w:val="es-ES"/>
        </w:rPr>
        <w:t>DEL LOTE AL QUE LICITA, IMPUESTOS EXCLUIDOS)</w:t>
      </w:r>
      <w:r>
        <w:rPr>
          <w:rFonts w:ascii="Arial" w:hAnsi="Arial" w:cs="Arial"/>
          <w:lang w:val="es-ES"/>
        </w:rPr>
        <w:t>”</w:t>
      </w:r>
    </w:p>
    <w:p w:rsidR="00590E27" w:rsidRDefault="00590E27" w:rsidP="00C5394E">
      <w:pPr>
        <w:jc w:val="both"/>
        <w:rPr>
          <w:rFonts w:ascii="Arial" w:eastAsia="Times New Roman" w:hAnsi="Arial" w:cs="Arial"/>
          <w:b/>
          <w:color w:val="000000" w:themeColor="text1"/>
          <w:sz w:val="22"/>
          <w:szCs w:val="22"/>
          <w:u w:val="single"/>
          <w:lang w:val="es-ES" w:eastAsia="es-ES"/>
        </w:rPr>
      </w:pPr>
    </w:p>
    <w:sectPr w:rsidR="00590E27"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2118F"/>
    <w:multiLevelType w:val="hybridMultilevel"/>
    <w:tmpl w:val="17FA3C70"/>
    <w:lvl w:ilvl="0" w:tplc="E434547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2"/>
  </w:num>
  <w:num w:numId="5">
    <w:abstractNumId w:val="10"/>
  </w:num>
  <w:num w:numId="6">
    <w:abstractNumId w:val="0"/>
  </w:num>
  <w:num w:numId="7">
    <w:abstractNumId w:val="1"/>
  </w:num>
  <w:num w:numId="8">
    <w:abstractNumId w:val="2"/>
  </w:num>
  <w:num w:numId="9">
    <w:abstractNumId w:val="9"/>
  </w:num>
  <w:num w:numId="10">
    <w:abstractNumId w:val="13"/>
  </w:num>
  <w:num w:numId="11">
    <w:abstractNumId w:val="3"/>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879B5"/>
    <w:rsid w:val="001B429A"/>
    <w:rsid w:val="002705E7"/>
    <w:rsid w:val="00291455"/>
    <w:rsid w:val="002A3701"/>
    <w:rsid w:val="00590E27"/>
    <w:rsid w:val="005C446E"/>
    <w:rsid w:val="00610398"/>
    <w:rsid w:val="006277FA"/>
    <w:rsid w:val="00661AF7"/>
    <w:rsid w:val="00667C6A"/>
    <w:rsid w:val="006D41C5"/>
    <w:rsid w:val="006F71B4"/>
    <w:rsid w:val="00750491"/>
    <w:rsid w:val="00760184"/>
    <w:rsid w:val="007B5251"/>
    <w:rsid w:val="007D1929"/>
    <w:rsid w:val="00843408"/>
    <w:rsid w:val="009D0D20"/>
    <w:rsid w:val="00B3649C"/>
    <w:rsid w:val="00C5394E"/>
    <w:rsid w:val="00CD51A5"/>
    <w:rsid w:val="00CE65D2"/>
    <w:rsid w:val="00D634BE"/>
    <w:rsid w:val="00D86106"/>
    <w:rsid w:val="00DF4D35"/>
    <w:rsid w:val="00E174D2"/>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513B"/>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 w:id="15054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11</cp:revision>
  <dcterms:created xsi:type="dcterms:W3CDTF">2018-03-07T08:27:00Z</dcterms:created>
  <dcterms:modified xsi:type="dcterms:W3CDTF">2018-03-08T13:54:00Z</dcterms:modified>
</cp:coreProperties>
</file>